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eastAsia" w:eastAsia="宋体"/>
          <w:b/>
          <w:lang w:val="en-US" w:eastAsia="zh-CN"/>
        </w:rPr>
      </w:pPr>
      <w:bookmarkStart w:id="0" w:name="Title"/>
      <w:bookmarkEnd w:id="0"/>
      <w:bookmarkStart w:id="1" w:name="DocumentFor"/>
      <w:bookmarkEnd w:id="1"/>
      <w:r>
        <w:rPr>
          <w:b/>
        </w:rPr>
        <w:t>3GPP TSG RAN WG2</w:t>
      </w:r>
      <w:r>
        <w:rPr>
          <w:rFonts w:hint="eastAsia"/>
          <w:b/>
        </w:rPr>
        <w:t xml:space="preserve"> Meeting </w:t>
      </w:r>
      <w:r>
        <w:rPr>
          <w:b/>
        </w:rPr>
        <w:t>#1</w:t>
      </w:r>
      <w:r>
        <w:rPr>
          <w:rFonts w:hint="eastAsia" w:eastAsia="宋体"/>
          <w:b/>
          <w:lang w:val="en-US" w:eastAsia="zh-CN"/>
        </w:rPr>
        <w:t>27bis</w:t>
      </w:r>
      <w:r>
        <w:rPr>
          <w:b/>
        </w:rPr>
        <w:tab/>
      </w:r>
      <w:r>
        <w:rPr>
          <w:rFonts w:hint="eastAsia"/>
          <w:b/>
        </w:rPr>
        <w:t>R2-2408080</w:t>
      </w:r>
    </w:p>
    <w:p>
      <w:pPr>
        <w:pStyle w:val="56"/>
        <w:jc w:val="left"/>
        <w:rPr>
          <w:rFonts w:hint="eastAsia" w:cs="Arial"/>
          <w:sz w:val="20"/>
        </w:rPr>
      </w:pPr>
      <w:r>
        <w:rPr>
          <w:rFonts w:hint="eastAsia" w:cs="Arial"/>
          <w:sz w:val="20"/>
        </w:rPr>
        <w:t>Hefei, China, October 14</w:t>
      </w:r>
      <w:r>
        <w:rPr>
          <w:rFonts w:hint="eastAsia" w:cs="Arial"/>
          <w:sz w:val="20"/>
          <w:vertAlign w:val="superscript"/>
        </w:rPr>
        <w:t>th</w:t>
      </w:r>
      <w:r>
        <w:rPr>
          <w:rFonts w:hint="eastAsia" w:cs="Arial"/>
          <w:sz w:val="20"/>
        </w:rPr>
        <w:t xml:space="preserve"> – 18</w:t>
      </w:r>
      <w:r>
        <w:rPr>
          <w:rFonts w:hint="eastAsia" w:cs="Arial"/>
          <w:sz w:val="20"/>
          <w:vertAlign w:val="superscript"/>
        </w:rPr>
        <w:t>th</w:t>
      </w:r>
      <w:r>
        <w:rPr>
          <w:rFonts w:hint="eastAsia" w:cs="Arial"/>
          <w:sz w:val="20"/>
        </w:rPr>
        <w:t>,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8.8.4</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 xml:space="preserve">Discussion on </w:t>
      </w:r>
      <w:r>
        <w:rPr>
          <w:rFonts w:hint="eastAsia" w:cs="Arial" w:eastAsiaTheme="minorEastAsia"/>
          <w:sz w:val="20"/>
          <w:lang w:val="en-US" w:eastAsia="zh-CN"/>
        </w:rPr>
        <w:t>MBS broadcast service for NR NTN</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suppressAutoHyphens/>
        <w:adjustRightInd/>
        <w:spacing w:before="120"/>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broadcast service</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54"/>
        <w:pBdr>
          <w:top w:val="single" w:color="auto" w:sz="4" w:space="1"/>
          <w:left w:val="single" w:color="auto" w:sz="4" w:space="1"/>
          <w:bottom w:val="single" w:color="auto" w:sz="4" w:space="1"/>
          <w:right w:val="single" w:color="auto" w:sz="4" w:space="1"/>
        </w:pBdr>
      </w:pPr>
      <w:r>
        <w:t>Agreements:</w:t>
      </w:r>
    </w:p>
    <w:p>
      <w:pPr>
        <w:pStyle w:val="54"/>
        <w:pBdr>
          <w:top w:val="single" w:color="auto" w:sz="4" w:space="1"/>
          <w:left w:val="single" w:color="auto" w:sz="4" w:space="1"/>
          <w:bottom w:val="single" w:color="auto" w:sz="4" w:space="1"/>
          <w:right w:val="single" w:color="auto" w:sz="4" w:space="1"/>
        </w:pBdr>
        <w:rPr>
          <w:lang w:val="en-US"/>
        </w:rPr>
      </w:pPr>
      <w:r>
        <w:t>1.</w:t>
      </w:r>
      <w:r>
        <w:tab/>
      </w:r>
      <w:r>
        <w:t xml:space="preserve">The intended broadcast service area is defined by a geographical area represented by </w:t>
      </w:r>
      <w:r>
        <w:rPr>
          <w:lang w:val="en-US"/>
        </w:rPr>
        <w:t xml:space="preserve">a (set of) </w:t>
      </w:r>
      <w:r>
        <w:t>referenceLocation and radius</w:t>
      </w:r>
      <w:r>
        <w:rPr>
          <w:lang w:val="en-US"/>
        </w:rPr>
        <w:t xml:space="preserve"> or by a (set of) polygon(s).</w:t>
      </w:r>
    </w:p>
    <w:p>
      <w:pPr>
        <w:pStyle w:val="54"/>
        <w:pBdr>
          <w:top w:val="single" w:color="auto" w:sz="4" w:space="1"/>
          <w:left w:val="single" w:color="auto" w:sz="4" w:space="1"/>
          <w:bottom w:val="single" w:color="auto" w:sz="4" w:space="1"/>
          <w:right w:val="single" w:color="auto" w:sz="4" w:space="1"/>
        </w:pBdr>
        <w:rPr>
          <w:lang w:val="en-US" w:eastAsia="ko-KR"/>
        </w:rPr>
      </w:pPr>
      <w:r>
        <w:rPr>
          <w:lang w:val="en-US"/>
        </w:rPr>
        <w:t>2.</w:t>
      </w:r>
      <w:r>
        <w:rPr>
          <w:lang w:val="en-US"/>
        </w:rPr>
        <w:tab/>
      </w:r>
      <w:r>
        <w:rPr>
          <w:lang w:val="en-US" w:eastAsia="ko-KR"/>
        </w:rPr>
        <w:t>RAN2 understands that the expected UE behavior is that when the UE is not in any intended service area of its interested broadcast services, the UE may not need to (re)acquire up-to-date MCCH. FFS on solutions</w:t>
      </w:r>
    </w:p>
    <w:p>
      <w:pPr>
        <w:pStyle w:val="54"/>
        <w:pBdr>
          <w:top w:val="single" w:color="auto" w:sz="4" w:space="1"/>
          <w:left w:val="single" w:color="auto" w:sz="4" w:space="1"/>
          <w:bottom w:val="single" w:color="auto" w:sz="4" w:space="1"/>
          <w:right w:val="single" w:color="auto" w:sz="4" w:space="1"/>
        </w:pBdr>
        <w:rPr>
          <w:lang w:val="en-US" w:eastAsia="ko-KR"/>
        </w:rPr>
      </w:pPr>
      <w:r>
        <w:rPr>
          <w:lang w:val="en-US" w:eastAsia="ko-KR"/>
        </w:rPr>
        <w:t>3.</w:t>
      </w:r>
      <w:r>
        <w:rPr>
          <w:lang w:val="en-US" w:eastAsia="ko-KR"/>
        </w:rPr>
        <w:tab/>
      </w:r>
      <w:r>
        <w:rPr>
          <w:lang w:val="en-US" w:eastAsia="ko-KR"/>
        </w:rPr>
        <w:t>For an MBS broadcast service intended for a certain area, a R19 UE supporting the feature should not establish MRB(s) for the MBS session associated to the intended area when it is outside the intended area (capture this in Stage 2)</w:t>
      </w:r>
    </w:p>
    <w:p>
      <w:pPr>
        <w:pStyle w:val="54"/>
        <w:pBdr>
          <w:top w:val="single" w:color="auto" w:sz="4" w:space="1"/>
          <w:left w:val="single" w:color="auto" w:sz="4" w:space="1"/>
          <w:bottom w:val="single" w:color="auto" w:sz="4" w:space="1"/>
          <w:right w:val="single" w:color="auto" w:sz="4" w:space="1"/>
        </w:pBdr>
        <w:rPr>
          <w:lang w:val="en-US" w:eastAsia="ko-KR"/>
        </w:rPr>
      </w:pPr>
      <w:r>
        <w:rPr>
          <w:lang w:val="en-US" w:eastAsia="ko-KR"/>
        </w:rPr>
        <w:t>4.</w:t>
      </w:r>
      <w:r>
        <w:rPr>
          <w:lang w:val="en-US" w:eastAsia="ko-KR"/>
        </w:rPr>
        <w:tab/>
      </w:r>
      <w:r>
        <w:rPr>
          <w:lang w:val="en-US" w:eastAsia="ko-KR"/>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MBS broadcast</w:t>
      </w:r>
      <w:r>
        <w:rPr>
          <w:rFonts w:cs="Arial"/>
        </w:rPr>
        <w:t xml:space="preserve"> </w:t>
      </w:r>
      <w:r>
        <w:rPr>
          <w:rFonts w:hint="eastAsia" w:eastAsia="宋体" w:cs="Arial"/>
          <w:lang w:val="en-US" w:eastAsia="zh-CN"/>
        </w:rPr>
        <w:t xml:space="preserve">service </w:t>
      </w:r>
      <w:r>
        <w:rPr>
          <w:rFonts w:cs="Arial"/>
        </w:rPr>
        <w:t xml:space="preserve">for </w:t>
      </w:r>
      <w:r>
        <w:rPr>
          <w:rFonts w:hint="eastAsia" w:eastAsia="宋体" w:cs="Arial"/>
          <w:lang w:val="en-US" w:eastAsia="zh-CN"/>
        </w:rPr>
        <w:t>NTN system</w:t>
      </w:r>
      <w:r>
        <w:rPr>
          <w:rFonts w:hint="eastAsia" w:cs="Arial" w:eastAsiaTheme="minorEastAsia"/>
        </w:rPr>
        <w:t>.</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4"/>
        <w:bidi w:val="0"/>
        <w:rPr>
          <w:rFonts w:hint="eastAsia"/>
          <w:b/>
          <w:bCs/>
          <w:lang w:val="en-US" w:eastAsia="zh-CN"/>
        </w:rPr>
      </w:pPr>
      <w:r>
        <w:rPr>
          <w:rFonts w:hint="eastAsia"/>
          <w:b/>
          <w:bCs/>
          <w:lang w:val="en-US" w:eastAsia="zh-CN"/>
        </w:rPr>
        <w:t>How to provide service area information</w:t>
      </w:r>
    </w:p>
    <w:p>
      <w:pPr>
        <w:pStyle w:val="60"/>
        <w:numPr>
          <w:ilvl w:val="0"/>
          <w:numId w:val="0"/>
        </w:numPr>
        <w:spacing w:after="0"/>
        <w:rPr>
          <w:rFonts w:hint="eastAsia" w:eastAsia="宋体" w:cs="Arial"/>
          <w:iCs/>
          <w:sz w:val="20"/>
          <w:szCs w:val="20"/>
          <w:lang w:val="en-US" w:eastAsia="zh-CN"/>
        </w:rPr>
      </w:pPr>
      <w:r>
        <w:rPr>
          <w:rFonts w:hint="eastAsia" w:eastAsia="宋体"/>
          <w:b w:val="0"/>
          <w:bCs w:val="0"/>
          <w:iCs/>
          <w:lang w:val="en-US" w:eastAsia="zh-CN"/>
        </w:rPr>
        <w:t xml:space="preserve">In last meeting, we discussed signaling details on how to provide service area information online and offline but without convergence (offline [2]) summary: SIB20 vs MCCH: 7:6. The main concerns of SIB20 are signaling overhead and </w:t>
      </w:r>
      <w:r>
        <w:rPr>
          <w:rFonts w:ascii="Arial" w:hAnsi="Arial" w:cs="Arial"/>
          <w:iCs/>
          <w:sz w:val="20"/>
          <w:szCs w:val="20"/>
          <w:lang w:val="en-US"/>
        </w:rPr>
        <w:t>extra modification of SIB20 caused by service area info</w:t>
      </w:r>
      <w:r>
        <w:rPr>
          <w:rFonts w:hint="eastAsia" w:eastAsia="宋体" w:cs="Arial"/>
          <w:iCs/>
          <w:sz w:val="20"/>
          <w:szCs w:val="20"/>
          <w:lang w:val="en-US" w:eastAsia="zh-CN"/>
        </w:rPr>
        <w:t>.</w:t>
      </w:r>
      <w:r>
        <w:rPr>
          <w:rFonts w:ascii="Arial" w:hAnsi="Arial" w:cs="Arial"/>
          <w:iCs/>
          <w:sz w:val="20"/>
          <w:szCs w:val="20"/>
          <w:lang w:val="en-US"/>
        </w:rPr>
        <w:t xml:space="preserve"> </w:t>
      </w:r>
      <w:r>
        <w:rPr>
          <w:rFonts w:hint="eastAsia" w:eastAsia="宋体" w:cs="Arial"/>
          <w:iCs/>
          <w:sz w:val="20"/>
          <w:szCs w:val="20"/>
          <w:lang w:val="en-US" w:eastAsia="zh-CN"/>
        </w:rPr>
        <w:t>u</w:t>
      </w:r>
      <w:r>
        <w:rPr>
          <w:rFonts w:ascii="Arial" w:hAnsi="Arial" w:cs="Arial"/>
          <w:iCs/>
          <w:sz w:val="20"/>
          <w:szCs w:val="20"/>
          <w:lang w:val="en-US"/>
        </w:rPr>
        <w:t>pdate</w:t>
      </w:r>
      <w:r>
        <w:rPr>
          <w:rFonts w:hint="eastAsia" w:eastAsia="宋体" w:cs="Arial"/>
          <w:iCs/>
          <w:sz w:val="20"/>
          <w:szCs w:val="20"/>
          <w:lang w:val="en-US" w:eastAsia="zh-CN"/>
        </w:rPr>
        <w:t>. And concern on using MCCH is UE power consumption due to always monitor MCCH update.</w:t>
      </w:r>
    </w:p>
    <w:p>
      <w:pPr>
        <w:pStyle w:val="60"/>
        <w:numPr>
          <w:ilvl w:val="0"/>
          <w:numId w:val="0"/>
        </w:numPr>
        <w:spacing w:after="0"/>
        <w:rPr>
          <w:rFonts w:hint="eastAsia" w:eastAsia="宋体"/>
          <w:b w:val="0"/>
          <w:bCs w:val="0"/>
          <w:iCs/>
          <w:lang w:val="en-US" w:eastAsia="zh-CN"/>
        </w:rPr>
      </w:pPr>
      <w:r>
        <w:rPr>
          <w:rFonts w:hint="eastAsia" w:eastAsia="宋体"/>
          <w:b w:val="0"/>
          <w:bCs w:val="0"/>
          <w:iCs/>
          <w:lang w:val="en-US" w:eastAsia="zh-CN"/>
        </w:rPr>
        <w:t xml:space="preserve">Per the current MBS broadcast mechanism, MCCH carries the </w:t>
      </w:r>
      <w:r>
        <w:rPr>
          <w:rFonts w:hint="eastAsia" w:eastAsia="宋体"/>
          <w:b w:val="0"/>
          <w:bCs w:val="0"/>
          <w:i/>
          <w:iCs w:val="0"/>
          <w:lang w:val="en-US" w:eastAsia="zh-CN"/>
        </w:rPr>
        <w:t xml:space="preserve">MBSBroadcastConfiguration </w:t>
      </w:r>
      <w:r>
        <w:rPr>
          <w:rFonts w:hint="eastAsia" w:eastAsia="宋体"/>
          <w:b w:val="0"/>
          <w:bCs w:val="0"/>
          <w:iCs/>
          <w:lang w:val="en-US" w:eastAsia="zh-CN"/>
        </w:rPr>
        <w:t xml:space="preserve">message which indicates the MBS broadcast sessions that are provided in the cell as well as the corresponding scheduling related information for these sessions. Optionally, the </w:t>
      </w:r>
      <w:r>
        <w:rPr>
          <w:rFonts w:hint="eastAsia" w:eastAsia="宋体"/>
          <w:b w:val="0"/>
          <w:bCs w:val="0"/>
          <w:i/>
          <w:iCs w:val="0"/>
          <w:lang w:val="en-US" w:eastAsia="zh-CN"/>
        </w:rPr>
        <w:t xml:space="preserve">MBSBroadcastConfiguration </w:t>
      </w:r>
      <w:r>
        <w:rPr>
          <w:rFonts w:hint="eastAsia" w:eastAsia="宋体"/>
          <w:b w:val="0"/>
          <w:bCs w:val="0"/>
          <w:iCs/>
          <w:lang w:val="en-US" w:eastAsia="zh-CN"/>
        </w:rPr>
        <w:t xml:space="preserve">message may also contain a list of neighbour cells providing the same broadcast MBS service(s) as provided in the current cell. The configuration information required by the UE to receive MCCH is provided in </w:t>
      </w:r>
      <w:r>
        <w:rPr>
          <w:rFonts w:hint="eastAsia" w:eastAsia="宋体"/>
          <w:b w:val="0"/>
          <w:bCs w:val="0"/>
          <w:i/>
          <w:iCs w:val="0"/>
          <w:lang w:val="en-US" w:eastAsia="zh-CN"/>
        </w:rPr>
        <w:t xml:space="preserve">SIB1 </w:t>
      </w:r>
      <w:r>
        <w:rPr>
          <w:rFonts w:hint="eastAsia" w:eastAsia="宋体"/>
          <w:b w:val="0"/>
          <w:bCs w:val="0"/>
          <w:iCs/>
          <w:lang w:val="en-US" w:eastAsia="zh-CN"/>
        </w:rPr>
        <w:t xml:space="preserve">and </w:t>
      </w:r>
      <w:r>
        <w:rPr>
          <w:rFonts w:hint="eastAsia" w:eastAsia="宋体"/>
          <w:b w:val="0"/>
          <w:bCs w:val="0"/>
          <w:i/>
          <w:iCs w:val="0"/>
          <w:lang w:val="en-US" w:eastAsia="zh-CN"/>
        </w:rPr>
        <w:t>SIB20</w:t>
      </w:r>
      <w:r>
        <w:rPr>
          <w:rFonts w:hint="eastAsia" w:eastAsia="宋体"/>
          <w:b w:val="0"/>
          <w:bCs w:val="0"/>
          <w:iCs/>
          <w:lang w:val="en-US" w:eastAsia="zh-CN"/>
        </w:rPr>
        <w:t xml:space="preserve">. </w:t>
      </w:r>
    </w:p>
    <w:p>
      <w:pPr>
        <w:pStyle w:val="60"/>
        <w:numPr>
          <w:ilvl w:val="0"/>
          <w:numId w:val="0"/>
        </w:numPr>
        <w:spacing w:after="0"/>
        <w:rPr>
          <w:rFonts w:hint="eastAsia" w:eastAsia="宋体"/>
          <w:b w:val="0"/>
          <w:bCs w:val="0"/>
          <w:iCs/>
          <w:lang w:val="en-US" w:eastAsia="zh-CN"/>
        </w:rPr>
      </w:pPr>
      <w:r>
        <w:rPr>
          <w:rFonts w:hint="eastAsia" w:eastAsia="宋体"/>
          <w:b w:val="0"/>
          <w:bCs w:val="0"/>
          <w:iCs/>
          <w:lang w:val="en-US" w:eastAsia="zh-CN"/>
        </w:rPr>
        <w:t>From our perspective, the main advantage of SIB20 is power saving that UE could determine whether to monitor the MCCH</w:t>
      </w:r>
      <w:r>
        <w:rPr>
          <w:rFonts w:eastAsiaTheme="minorEastAsia"/>
          <w:lang w:val="en-US"/>
        </w:rPr>
        <w:t xml:space="preserve"> </w:t>
      </w:r>
      <w:r>
        <w:rPr>
          <w:rFonts w:hint="eastAsia" w:eastAsiaTheme="minorEastAsia"/>
          <w:lang w:val="en-US" w:eastAsia="zh-CN"/>
        </w:rPr>
        <w:t xml:space="preserve">based on the service area information. However, this solution would have impact on all UEs due to service area info. update, which may lead to more signaling overhead. </w:t>
      </w:r>
    </w:p>
    <w:p>
      <w:pPr>
        <w:pStyle w:val="60"/>
        <w:numPr>
          <w:ilvl w:val="0"/>
          <w:numId w:val="0"/>
        </w:numPr>
        <w:spacing w:after="0"/>
        <w:rPr>
          <w:rFonts w:hint="eastAsia" w:eastAsia="宋体"/>
          <w:lang w:val="en-US" w:eastAsia="zh-CN"/>
        </w:rPr>
      </w:pPr>
      <w:r>
        <w:rPr>
          <w:rFonts w:hint="eastAsia" w:eastAsia="宋体"/>
          <w:b w:val="0"/>
          <w:bCs w:val="0"/>
          <w:i w:val="0"/>
          <w:iCs/>
          <w:lang w:val="en-US" w:eastAsia="zh-CN"/>
        </w:rPr>
        <w:t xml:space="preserve">Then for MCCH, </w:t>
      </w:r>
      <w:r>
        <w:rPr>
          <w:rFonts w:hint="eastAsia" w:eastAsia="宋体"/>
          <w:b w:val="0"/>
          <w:bCs w:val="0"/>
          <w:i/>
          <w:iCs w:val="0"/>
          <w:lang w:val="en-US" w:eastAsia="zh-CN"/>
        </w:rPr>
        <w:t>MBSBroadcastConfiguration</w:t>
      </w:r>
      <w:r>
        <w:rPr>
          <w:rFonts w:hint="eastAsia" w:eastAsia="宋体"/>
          <w:b w:val="0"/>
          <w:bCs w:val="0"/>
          <w:i w:val="0"/>
          <w:iCs/>
          <w:lang w:val="en-US" w:eastAsia="zh-CN"/>
        </w:rPr>
        <w:t xml:space="preserve"> including </w:t>
      </w:r>
      <w:r>
        <w:rPr>
          <w:rFonts w:hint="eastAsia" w:eastAsia="宋体"/>
          <w:b w:val="0"/>
          <w:bCs w:val="0"/>
          <w:i/>
          <w:iCs w:val="0"/>
          <w:lang w:val="en-US" w:eastAsia="zh-CN"/>
        </w:rPr>
        <w:t>mbs-SessionInfoList</w:t>
      </w:r>
      <w:r>
        <w:rPr>
          <w:rFonts w:hint="eastAsia" w:eastAsia="宋体"/>
          <w:b w:val="0"/>
          <w:bCs w:val="0"/>
          <w:i w:val="0"/>
          <w:iCs/>
          <w:lang w:val="en-US" w:eastAsia="zh-CN"/>
        </w:rPr>
        <w:t xml:space="preserve"> which p</w:t>
      </w:r>
      <w:r>
        <w:rPr>
          <w:lang w:eastAsia="en-GB"/>
        </w:rPr>
        <w:t>rovides the configuration of each MBS session provided by MBS broadcast in the current cell</w:t>
      </w:r>
      <w:r>
        <w:rPr>
          <w:rFonts w:hint="eastAsia" w:eastAsia="宋体"/>
          <w:lang w:val="en-US" w:eastAsia="zh-CN"/>
        </w:rPr>
        <w:t xml:space="preserve">, considering we have another agreement that when intended service area (e.g., geographical area/TN coverage) is provided for MBS broadcast service, it needs to be associated with MBS session, therefore, using </w:t>
      </w:r>
      <w:r>
        <w:rPr>
          <w:rFonts w:hint="eastAsia" w:eastAsia="宋体"/>
          <w:b w:val="0"/>
          <w:bCs w:val="0"/>
          <w:i/>
          <w:iCs w:val="0"/>
          <w:lang w:val="en-US" w:eastAsia="zh-CN"/>
        </w:rPr>
        <w:t>MBSBroadcastConfiguration</w:t>
      </w:r>
      <w:r>
        <w:rPr>
          <w:rFonts w:hint="eastAsia" w:eastAsia="宋体"/>
          <w:lang w:val="en-US" w:eastAsia="zh-CN"/>
        </w:rPr>
        <w:t xml:space="preserve"> could provide both service area information and association between service area and MBS session. Specifically, introduce intended service area ID and provide association (e.g. one to one, one to multiple, multiple to one) between intended service area ID and MBS session ID.</w:t>
      </w:r>
    </w:p>
    <w:p>
      <w:pPr>
        <w:pStyle w:val="60"/>
        <w:numPr>
          <w:ilvl w:val="0"/>
          <w:numId w:val="0"/>
        </w:numPr>
        <w:spacing w:after="0"/>
        <w:rPr>
          <w:rFonts w:hint="eastAsia" w:eastAsia="宋体"/>
          <w:lang w:val="en-US" w:eastAsia="zh-CN"/>
        </w:rPr>
      </w:pPr>
      <w:r>
        <w:rPr>
          <w:rFonts w:hint="eastAsia" w:eastAsia="宋体"/>
          <w:lang w:val="en-US" w:eastAsia="zh-CN"/>
        </w:rPr>
        <w:t>As in current TS 38.331, the MCCH information validity and notification of changes are defined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eastAsia="zh-CN"/>
              </w:rPr>
            </w:pPr>
            <w:bookmarkStart w:id="3" w:name="_Toc171467619"/>
            <w:r>
              <w:rPr>
                <w:lang w:eastAsia="zh-CN"/>
              </w:rPr>
              <w:t>5.9.1.3</w:t>
            </w:r>
            <w:r>
              <w:rPr>
                <w:lang w:eastAsia="zh-CN"/>
              </w:rPr>
              <w:tab/>
            </w:r>
            <w:r>
              <w:rPr>
                <w:lang w:eastAsia="zh-CN"/>
              </w:rPr>
              <w:t>MCCH information validity and notification of changes</w:t>
            </w:r>
            <w:bookmarkEnd w:id="3"/>
          </w:p>
          <w:p>
            <w:pPr>
              <w:rPr>
                <w:lang w:eastAsia="zh-CN"/>
              </w:rPr>
            </w:pPr>
            <w:r>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pPr>
              <w:rPr>
                <w:lang w:eastAsia="zh-CN"/>
              </w:rPr>
            </w:pPr>
            <w:r>
              <w:rPr>
                <w:lang w:eastAsia="zh-CN"/>
              </w:rPr>
              <w:t xml:space="preserve">When the network changes (some of) the MCCH information, it notifies the UEs about the change starting from the beginning of the MCCH modification period via PDCCH </w:t>
            </w:r>
            <w:r>
              <w:t>which schedules the MCCH in every repetition in that modification period</w:t>
            </w:r>
            <w:r>
              <w:rPr>
                <w:lang w:eastAsia="zh-CN"/>
              </w:rPr>
              <w:t>.</w:t>
            </w:r>
          </w:p>
          <w:p>
            <w:pPr>
              <w:spacing w:after="0"/>
              <w:rPr>
                <w:rFonts w:hint="default" w:eastAsia="宋体"/>
                <w:vertAlign w:val="baseline"/>
                <w:lang w:val="en-US" w:eastAsia="zh-CN"/>
              </w:rPr>
            </w:pPr>
            <w:r>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tc>
      </w:tr>
    </w:tbl>
    <w:p>
      <w:pPr>
        <w:pStyle w:val="60"/>
        <w:numPr>
          <w:ilvl w:val="0"/>
          <w:numId w:val="0"/>
        </w:numPr>
        <w:spacing w:after="0"/>
        <w:rPr>
          <w:rFonts w:hint="default" w:eastAsia="宋体"/>
          <w:lang w:val="en-US" w:eastAsia="zh-CN"/>
        </w:rPr>
      </w:pPr>
      <w:r>
        <w:rPr>
          <w:rFonts w:hint="eastAsia" w:eastAsia="宋体"/>
          <w:lang w:val="en-US" w:eastAsia="zh-CN"/>
        </w:rPr>
        <w:t>Then for MCCH update due to service area information changing, considering that we would specify the association between the intended service area and MBS session, the MCCH update mechanism could follow legacy solution mentioned above.</w:t>
      </w:r>
    </w:p>
    <w:p>
      <w:pPr>
        <w:pStyle w:val="60"/>
        <w:numPr>
          <w:ilvl w:val="0"/>
          <w:numId w:val="0"/>
        </w:numPr>
        <w:spacing w:after="0"/>
        <w:rPr>
          <w:rFonts w:hint="eastAsia" w:eastAsia="宋体"/>
          <w:b/>
          <w:bCs/>
          <w:i/>
          <w:iCs w:val="0"/>
          <w:lang w:val="en-US" w:eastAsia="zh-CN"/>
        </w:rPr>
      </w:pPr>
      <w:r>
        <w:rPr>
          <w:rFonts w:hint="eastAsia" w:eastAsia="宋体"/>
          <w:b/>
          <w:bCs/>
          <w:iCs/>
          <w:lang w:val="en-US" w:eastAsia="zh-CN"/>
        </w:rPr>
        <w:t xml:space="preserve">Proposal 1: It is proposed to include service area information in </w:t>
      </w:r>
      <w:r>
        <w:rPr>
          <w:rFonts w:hint="eastAsia" w:eastAsia="宋体"/>
          <w:b/>
          <w:bCs/>
          <w:i/>
          <w:iCs w:val="0"/>
          <w:lang w:val="en-US" w:eastAsia="zh-CN"/>
        </w:rPr>
        <w:t>MBSBroadcastConfiguration</w:t>
      </w:r>
    </w:p>
    <w:p>
      <w:pPr>
        <w:pStyle w:val="60"/>
        <w:numPr>
          <w:ilvl w:val="0"/>
          <w:numId w:val="0"/>
        </w:numPr>
        <w:spacing w:after="0"/>
        <w:rPr>
          <w:rFonts w:hint="eastAsia" w:eastAsia="宋体"/>
          <w:b/>
          <w:bCs/>
          <w:iCs/>
          <w:lang w:val="en-US" w:eastAsia="zh-CN"/>
        </w:rPr>
      </w:pPr>
      <w:r>
        <w:rPr>
          <w:rFonts w:hint="eastAsia" w:eastAsia="宋体"/>
          <w:b/>
          <w:bCs/>
          <w:iCs/>
          <w:lang w:val="en-US" w:eastAsia="zh-CN"/>
        </w:rPr>
        <w:t>Proposal 2: Introduce intended service area ID and provide association (e.g. one to one, one to multiple, multiple to one) between intended service area ID and MBS session ID.</w:t>
      </w:r>
    </w:p>
    <w:p>
      <w:pPr>
        <w:pStyle w:val="60"/>
        <w:numPr>
          <w:ilvl w:val="0"/>
          <w:numId w:val="0"/>
        </w:numPr>
        <w:spacing w:after="0"/>
        <w:rPr>
          <w:rFonts w:hint="default" w:eastAsia="宋体"/>
          <w:b/>
          <w:bCs/>
          <w:iCs/>
          <w:lang w:val="en-US" w:eastAsia="zh-CN"/>
        </w:rPr>
      </w:pPr>
      <w:r>
        <w:rPr>
          <w:rFonts w:hint="eastAsia" w:eastAsia="宋体"/>
          <w:b/>
          <w:bCs/>
          <w:iCs/>
          <w:lang w:val="en-US" w:eastAsia="zh-CN"/>
        </w:rPr>
        <w:t>Proposal 3: For MCCH update due to service area information changing, legacy mechanism could be the baseline.</w:t>
      </w:r>
    </w:p>
    <w:p>
      <w:pPr>
        <w:pStyle w:val="60"/>
        <w:numPr>
          <w:ilvl w:val="0"/>
          <w:numId w:val="0"/>
        </w:numPr>
        <w:spacing w:after="0"/>
        <w:rPr>
          <w:rFonts w:hint="eastAsia" w:eastAsia="宋体"/>
          <w:b w:val="0"/>
          <w:bCs w:val="0"/>
          <w:iCs/>
          <w:lang w:val="en-US" w:eastAsia="zh-CN"/>
        </w:rPr>
      </w:pPr>
    </w:p>
    <w:p>
      <w:pPr>
        <w:pStyle w:val="60"/>
        <w:numPr>
          <w:ilvl w:val="0"/>
          <w:numId w:val="0"/>
        </w:numPr>
        <w:spacing w:after="0"/>
        <w:rPr>
          <w:rFonts w:hint="default" w:eastAsia="宋体"/>
          <w:lang w:val="en-US" w:eastAsia="zh-CN"/>
        </w:rPr>
      </w:pPr>
      <w:r>
        <w:rPr>
          <w:rFonts w:hint="eastAsia" w:eastAsia="宋体"/>
          <w:b w:val="0"/>
          <w:bCs w:val="0"/>
          <w:iCs/>
          <w:lang w:val="en-US" w:eastAsia="zh-CN"/>
        </w:rPr>
        <w:t>For ETWS, we have agreed to send an LS [3] to SA1 to check whether the capability to geofence emergency messages to an area should be supported for ETWS in a NTN cell</w:t>
      </w:r>
      <w:r>
        <w:rPr>
          <w:lang w:eastAsia="zh-CN"/>
        </w:rPr>
        <w:t>, considering the delay requirements for ETWS primary notification.</w:t>
      </w:r>
      <w:r>
        <w:rPr>
          <w:rFonts w:hint="eastAsia" w:eastAsia="宋体"/>
          <w:b w:val="0"/>
          <w:bCs w:val="0"/>
          <w:iCs/>
          <w:lang w:val="en-US" w:eastAsia="zh-CN"/>
        </w:rPr>
        <w:t xml:space="preserve"> Therefore we could wait the feedback from SA1 for provision service area information for ETWS.</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4: Wait the feedback from SA1 for provision service area information for ETWS.</w:t>
      </w:r>
    </w:p>
    <w:p>
      <w:pPr>
        <w:pStyle w:val="4"/>
        <w:bidi w:val="0"/>
        <w:rPr>
          <w:rFonts w:hint="default"/>
          <w:b/>
          <w:bCs/>
          <w:lang w:val="en-US" w:eastAsia="zh-CN"/>
        </w:rPr>
      </w:pPr>
      <w:r>
        <w:rPr>
          <w:rFonts w:hint="eastAsia"/>
          <w:b/>
          <w:bCs/>
          <w:lang w:val="en-US" w:eastAsia="zh-CN"/>
        </w:rPr>
        <w:t xml:space="preserve"> Signaling format of service area</w:t>
      </w: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rPr>
          <w:rFonts w:hint="eastAsia" w:eastAsiaTheme="minorEastAsia"/>
          <w:bCs/>
          <w:lang w:val="en-US" w:eastAsia="zh-CN"/>
        </w:rPr>
      </w:pPr>
      <w:r>
        <w:rPr>
          <w:rFonts w:hint="eastAsia" w:eastAsiaTheme="minorEastAsia"/>
          <w:bCs/>
          <w:lang w:val="en-US" w:eastAsia="zh-CN"/>
        </w:rPr>
        <w:t>Regarding the service area indication, we agreed that the intended broadcast service area is defined by a geographical area represented by a (set of) referenceLocation and radius or by a (set of) polygon(s).</w:t>
      </w:r>
    </w:p>
    <w:p>
      <w:pPr>
        <w:pStyle w:val="60"/>
        <w:numPr>
          <w:ilvl w:val="0"/>
          <w:numId w:val="0"/>
        </w:numPr>
        <w:spacing w:after="0"/>
        <w:ind w:leftChars="0"/>
        <w:rPr>
          <w:rFonts w:hint="eastAsia" w:eastAsia="宋体"/>
          <w:iCs/>
          <w:lang w:val="en-US" w:eastAsia="zh-CN"/>
        </w:rPr>
      </w:pPr>
      <w:r>
        <w:rPr>
          <w:rFonts w:hint="eastAsia" w:eastAsiaTheme="minorEastAsia"/>
          <w:bCs/>
          <w:lang w:val="en-US" w:eastAsia="zh-CN"/>
        </w:rPr>
        <w:t>For the former solution</w:t>
      </w:r>
      <w:r>
        <w:rPr>
          <w:rFonts w:hint="eastAsia" w:eastAsia="宋体"/>
          <w:b w:val="0"/>
          <w:bCs w:val="0"/>
          <w:iCs/>
          <w:lang w:val="en-US" w:eastAsia="zh-CN"/>
        </w:rPr>
        <w:t xml:space="preserve">, </w:t>
      </w:r>
      <w:r>
        <w:rPr>
          <w:rFonts w:hint="eastAsia" w:eastAsiaTheme="minorEastAsia"/>
          <w:b w:val="0"/>
          <w:bCs/>
          <w:lang w:val="en-US" w:eastAsia="zh-CN"/>
        </w:rPr>
        <w:t xml:space="preserve">similar to </w:t>
      </w:r>
      <w:r>
        <w:rPr>
          <w:b w:val="0"/>
          <w:bCs/>
          <w:iCs/>
        </w:rPr>
        <w:t>TN coverage information</w:t>
      </w:r>
      <w:r>
        <w:rPr>
          <w:rFonts w:hint="eastAsia" w:eastAsia="宋体"/>
          <w:b w:val="0"/>
          <w:bCs/>
          <w:iCs/>
          <w:lang w:val="en-US" w:eastAsia="zh-CN"/>
        </w:rPr>
        <w:t xml:space="preserve"> introduced in NTN R18 to </w:t>
      </w:r>
      <w:r>
        <w:rPr>
          <w:b w:val="0"/>
          <w:bCs/>
          <w:iCs/>
        </w:rPr>
        <w:t>assist</w:t>
      </w:r>
      <w:r>
        <w:rPr>
          <w:rFonts w:hint="eastAsia" w:eastAsia="宋体"/>
          <w:b w:val="0"/>
          <w:bCs/>
          <w:iCs/>
          <w:lang w:val="en-US" w:eastAsia="zh-CN"/>
        </w:rPr>
        <w:t xml:space="preserve"> TN</w:t>
      </w:r>
      <w:r>
        <w:rPr>
          <w:b w:val="0"/>
          <w:bCs/>
          <w:iCs/>
        </w:rPr>
        <w:t xml:space="preserve"> neighbour cell measurements</w:t>
      </w:r>
      <w:r>
        <w:rPr>
          <w:rFonts w:hint="eastAsia" w:eastAsia="宋体"/>
          <w:b w:val="0"/>
          <w:bCs/>
          <w:iCs/>
          <w:lang w:val="en-US" w:eastAsia="zh-CN"/>
        </w:rPr>
        <w:t xml:space="preserve">, </w:t>
      </w:r>
      <w:r>
        <w:rPr>
          <w:rFonts w:hint="eastAsia" w:eastAsia="宋体"/>
          <w:b w:val="0"/>
          <w:bCs w:val="0"/>
          <w:iCs/>
          <w:lang w:val="en-US" w:eastAsia="zh-CN"/>
        </w:rPr>
        <w:t xml:space="preserve">we could consider to introduce a new IE (e.g. IntendedServiceAreaInfo-r19) as follows to </w:t>
      </w:r>
      <w:r>
        <w:rPr>
          <w:rFonts w:hint="eastAsia" w:eastAsia="宋体"/>
          <w:iCs/>
          <w:lang w:val="en-US" w:eastAsia="zh-CN"/>
        </w:rPr>
        <w:t>provide intended service area ID, service area reference location and distance radius information to UE. Then UE receive the broadcast service based on whether in the service area or whether interested in the service.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spacing w:after="0"/>
        <w:ind w:left="0" w:firstLine="0"/>
        <w:rPr>
          <w:rFonts w:hint="eastAsia" w:eastAsia="宋体"/>
          <w:iCs/>
          <w:lang w:val="en-US" w:eastAsia="zh-CN"/>
        </w:rPr>
      </w:pPr>
      <w:r>
        <w:rPr>
          <w:rFonts w:hint="eastAsia" w:eastAsiaTheme="minorEastAsia"/>
          <w:b/>
          <w:bCs w:val="0"/>
          <w:lang w:val="en-US" w:eastAsia="zh-CN"/>
        </w:rPr>
        <w:t>Proposal 5: For the referenceLocation + radius solution, the following new IE format could be discussed: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hint="default" w:eastAsiaTheme="minorEastAsia"/>
          <w:b/>
          <w:bCs w:val="0"/>
          <w:lang w:val="en-US" w:eastAsia="zh-CN"/>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 xml:space="preserve">Then for the latter solution (polygon), it is already captured in section 5.4 of TS 23.032.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numPr>
                <w:ilvl w:val="1"/>
                <w:numId w:val="0"/>
              </w:numPr>
              <w:ind w:left="142" w:leftChars="0"/>
            </w:pPr>
            <w:bookmarkStart w:id="4" w:name="_Toc145735435"/>
            <w:r>
              <w:t>5.4</w:t>
            </w:r>
            <w:r>
              <w:tab/>
            </w:r>
            <w:r>
              <w:t>Polygon</w:t>
            </w:r>
            <w:bookmarkEnd w:id="4"/>
          </w:p>
          <w:p>
            <w:r>
              <w:t>A polygon is an arbitrary shape described by an ordered series of points (in the example pictured in the drawing, A to E). The minimum number of points allowed is 3, and the maximum number of points allowed is 15. The points shall be connected in the order that they are given. A connecting line is defined as the line over the ellipsoid joining the two points and of minimum distance (geodesic). The last point is connected to the first. The list of points shall respect a number of conditions:</w:t>
            </w:r>
          </w:p>
          <w:p>
            <w:pPr>
              <w:pStyle w:val="60"/>
            </w:pPr>
            <w:r>
              <w:t>-</w:t>
            </w:r>
            <w:r>
              <w:tab/>
            </w:r>
            <w:r>
              <w:t>a connecting line shall not cross another connecting line;</w:t>
            </w:r>
          </w:p>
          <w:p>
            <w:pPr>
              <w:pStyle w:val="60"/>
            </w:pPr>
            <w:r>
              <w:t>-</w:t>
            </w:r>
            <w:r>
              <w:tab/>
            </w:r>
            <w:r>
              <w:t>two successive points must not be diametrically opposed on the ellipsoid.</w:t>
            </w:r>
          </w:p>
          <w:p>
            <w:r>
              <w:t>The described area is situated to the right of the lines with the downward direction being toward the Earth's centre and the forward direction being from a point to the next.</w:t>
            </w:r>
          </w:p>
          <w:p>
            <w:pPr>
              <w:pStyle w:val="114"/>
            </w:pPr>
            <w:r>
              <w:t>NOTE:</w:t>
            </w:r>
            <w:r>
              <w:tab/>
            </w:r>
            <w:r>
              <w:t>This definition does not permit connecting lines greater than roughly 20 000 km. If such a need arises, the polygon can be described by adding an intermediate point.</w:t>
            </w:r>
          </w:p>
          <w:p>
            <w:r>
              <w:t>Computation of geodesic lines is not simple. Approximations leading to a maximum distance between the computed line and the geodesic line of less than 3 metres are acceptable.</w:t>
            </w:r>
          </w:p>
          <w:p>
            <w:pPr>
              <w:pStyle w:val="73"/>
            </w:pPr>
            <w:bookmarkStart w:id="5" w:name="_MON_1290862438"/>
            <w:bookmarkEnd w:id="5"/>
            <w:r>
              <w:object>
                <v:shape id="_x0000_i1025" o:spt="75" type="#_x0000_t75" style="height:181.45pt;width:263.25pt;" o:ole="t" filled="f" o:preferrelative="t" stroked="f" coordsize="21600,21600">
                  <v:path/>
                  <v:fill on="f" focussize="0,0"/>
                  <v:stroke on="f" joinstyle="miter"/>
                  <v:imagedata r:id="rId12" o:title=""/>
                  <o:lock v:ext="edit" aspectratio="t"/>
                  <w10:wrap type="none"/>
                  <w10:anchorlock/>
                </v:shape>
                <o:OLEObject Type="Embed" ProgID="Word.Picture.8" ShapeID="_x0000_i1025" DrawAspect="Content" ObjectID="_1468075725" r:id="rId11">
                  <o:LockedField>false</o:LockedField>
                </o:OLEObject>
              </w:object>
            </w:r>
          </w:p>
          <w:p>
            <w:pPr>
              <w:pStyle w:val="74"/>
              <w:rPr>
                <w:rFonts w:hint="default" w:eastAsiaTheme="minorEastAsia"/>
                <w:b w:val="0"/>
                <w:bCs/>
                <w:vertAlign w:val="baseline"/>
                <w:lang w:val="en-US" w:eastAsia="zh-CN"/>
              </w:rPr>
            </w:pPr>
            <w:bookmarkStart w:id="6" w:name="_CRFigure3"/>
            <w:r>
              <w:t xml:space="preserve">Figure </w:t>
            </w:r>
            <w:bookmarkEnd w:id="6"/>
            <w:r>
              <w:t>3: Description of a Polygon</w:t>
            </w:r>
          </w:p>
        </w:tc>
      </w:tr>
    </w:tbl>
    <w:p>
      <w:pPr>
        <w:pStyle w:val="60"/>
        <w:spacing w:after="0"/>
        <w:ind w:left="0" w:firstLine="0"/>
        <w:rPr>
          <w:rFonts w:hint="default" w:eastAsiaTheme="minorEastAsia"/>
          <w:b w:val="0"/>
          <w:bCs/>
          <w:lang w:val="en-US" w:eastAsia="zh-CN"/>
        </w:rPr>
      </w:pPr>
      <w:r>
        <w:rPr>
          <w:rFonts w:hint="eastAsia" w:eastAsiaTheme="minorEastAsia"/>
          <w:b w:val="0"/>
          <w:bCs/>
          <w:lang w:val="en-US" w:eastAsia="zh-CN"/>
        </w:rPr>
        <w:t xml:space="preserve">To support both the solutions, a </w:t>
      </w:r>
      <w:r>
        <w:rPr>
          <w:rFonts w:hint="default" w:eastAsiaTheme="minorEastAsia"/>
          <w:b w:val="0"/>
          <w:bCs/>
          <w:lang w:val="en-US" w:eastAsia="zh-CN"/>
        </w:rPr>
        <w:t>“</w:t>
      </w:r>
      <w:r>
        <w:rPr>
          <w:rFonts w:hint="eastAsia" w:eastAsiaTheme="minorEastAsia"/>
          <w:b w:val="0"/>
          <w:bCs/>
          <w:lang w:val="en-US" w:eastAsia="zh-CN"/>
        </w:rPr>
        <w:t>CHOICE</w:t>
      </w:r>
      <w:r>
        <w:rPr>
          <w:rFonts w:hint="default" w:eastAsiaTheme="minorEastAsia"/>
          <w:b w:val="0"/>
          <w:bCs/>
          <w:lang w:val="en-US" w:eastAsia="zh-CN"/>
        </w:rPr>
        <w:t>”</w:t>
      </w:r>
      <w:r>
        <w:rPr>
          <w:rFonts w:hint="eastAsia" w:eastAsiaTheme="minorEastAsia"/>
          <w:b w:val="0"/>
          <w:bCs/>
          <w:lang w:val="en-US" w:eastAsia="zh-CN"/>
        </w:rPr>
        <w:t xml:space="preserve"> signaling structure could be considered. And based on NW configuration to provide the intended service area information</w:t>
      </w:r>
    </w:p>
    <w:p>
      <w:pPr>
        <w:pStyle w:val="60"/>
        <w:spacing w:after="0"/>
        <w:ind w:left="0" w:firstLine="0"/>
        <w:rPr>
          <w:rFonts w:hint="default" w:ascii="Arial" w:hAnsi="Arial" w:eastAsia="宋体" w:cs="Arial"/>
          <w:b/>
          <w:bCs/>
          <w:iCs/>
          <w:lang w:val="en-US" w:eastAsia="zh-CN"/>
        </w:rPr>
      </w:pPr>
      <w:r>
        <w:rPr>
          <w:rFonts w:hint="default" w:ascii="Arial" w:hAnsi="Arial" w:cs="Arial" w:eastAsiaTheme="minorEastAsia"/>
          <w:b/>
          <w:bCs w:val="0"/>
          <w:lang w:val="en-US" w:eastAsia="zh-CN"/>
        </w:rPr>
        <w:t>Proposal 6: It is proposed to use “CHOICE” signaling structure to support both the service area format solutions.</w:t>
      </w:r>
    </w:p>
    <w:p>
      <w:pPr>
        <w:pStyle w:val="4"/>
        <w:bidi w:val="0"/>
        <w:rPr>
          <w:rFonts w:hint="default"/>
          <w:b/>
          <w:bCs/>
          <w:lang w:val="en-US" w:eastAsia="zh-CN"/>
        </w:rPr>
      </w:pPr>
      <w:r>
        <w:rPr>
          <w:rFonts w:hint="eastAsia"/>
          <w:b/>
          <w:bCs/>
          <w:lang w:val="en-US" w:eastAsia="zh-CN"/>
        </w:rPr>
        <w:t>Country information</w:t>
      </w:r>
    </w:p>
    <w:p>
      <w:pPr>
        <w:pStyle w:val="60"/>
        <w:spacing w:after="0"/>
        <w:ind w:left="0" w:firstLine="0"/>
        <w:rPr>
          <w:rFonts w:hint="eastAsia" w:eastAsia="宋体"/>
          <w:lang w:val="en-US" w:eastAsia="zh-CN"/>
        </w:rPr>
      </w:pPr>
      <w:r>
        <w:rPr>
          <w:rFonts w:hint="eastAsia" w:eastAsia="宋体"/>
          <w:b w:val="0"/>
          <w:bCs w:val="0"/>
          <w:iCs/>
          <w:lang w:val="en-US" w:eastAsia="zh-CN"/>
        </w:rPr>
        <w:t xml:space="preserve">Per the discussion, some companies indicate that </w:t>
      </w:r>
      <w:r>
        <w:rPr>
          <w:rFonts w:hint="eastAsia" w:eastAsia="宋体"/>
          <w:iCs/>
          <w:lang w:val="en-US" w:eastAsia="zh-CN"/>
        </w:rPr>
        <w:t xml:space="preserve">one intended service area may cross several country border, different country information need to be taken into account. However, the existing TMGI (Temporary Mobile Group Identity) </w:t>
      </w:r>
      <w:r>
        <w:rPr>
          <w:rFonts w:hint="eastAsia"/>
        </w:rPr>
        <w:t xml:space="preserve">used </w:t>
      </w:r>
      <w:r>
        <w:t>within</w:t>
      </w:r>
      <w:r>
        <w:rPr>
          <w:rFonts w:hint="eastAsia"/>
        </w:rPr>
        <w:t xml:space="preserve"> MBMS</w:t>
      </w:r>
      <w:r>
        <w:t xml:space="preserve"> to uniquely identify Multicast and Broadcast bearer services</w:t>
      </w:r>
      <w:r>
        <w:rPr>
          <w:rFonts w:hint="eastAsia" w:eastAsia="宋体"/>
          <w:lang w:val="en-US" w:eastAsia="zh-CN"/>
        </w:rPr>
        <w:t xml:space="preserve"> and the structure of TMGI is shown in the following figure:</w:t>
      </w:r>
    </w:p>
    <w:p>
      <w:pPr>
        <w:pStyle w:val="73"/>
      </w:pPr>
      <w:r>
        <w:object>
          <v:shape id="_x0000_i1026" o:spt="75" type="#_x0000_t75" style="height:135.35pt;width:469.45pt;" o:ole="t" fillcolor="#CCE8CF" filled="f" o:preferrelative="t" stroked="f" coordsize="21600,21600">
            <v:path/>
            <v:fill on="f" focussize="0,0"/>
            <v:stroke on="f" joinstyle="miter"/>
            <v:imagedata r:id="rId14" o:title=""/>
            <o:lock v:ext="edit" aspectratio="t"/>
            <w10:wrap type="none"/>
            <w10:anchorlock/>
          </v:shape>
          <o:OLEObject Type="Embed" ProgID="Word.Picture.8" ShapeID="_x0000_i1026" DrawAspect="Content" ObjectID="_1468075726" r:id="rId13">
            <o:LockedField>false</o:LockedField>
          </o:OLEObject>
        </w:object>
      </w:r>
    </w:p>
    <w:p>
      <w:pPr>
        <w:pStyle w:val="74"/>
        <w:rPr>
          <w:rFonts w:hint="default" w:eastAsia="宋体"/>
          <w:lang w:val="en-US" w:eastAsia="zh-CN"/>
        </w:rPr>
      </w:pPr>
      <w:r>
        <w:t>Figure 15.2.1: Structure of TMGI</w:t>
      </w:r>
      <w:r>
        <w:rPr>
          <w:rFonts w:hint="eastAsia" w:eastAsia="宋体"/>
          <w:lang w:val="en-US" w:eastAsia="zh-CN"/>
        </w:rPr>
        <w:t xml:space="preserve"> [4]</w:t>
      </w:r>
    </w:p>
    <w:p>
      <w:pPr>
        <w:pStyle w:val="60"/>
        <w:spacing w:after="0"/>
        <w:ind w:left="0" w:firstLine="0"/>
        <w:rPr>
          <w:rFonts w:hint="eastAsia" w:eastAsia="宋体"/>
          <w:lang w:val="en-US" w:eastAsia="zh-CN"/>
        </w:rPr>
      </w:pPr>
      <w:r>
        <w:rPr>
          <w:rFonts w:hint="eastAsia" w:eastAsia="宋体"/>
          <w:lang w:val="en-US" w:eastAsia="zh-CN"/>
        </w:rPr>
        <w:t>And the SAI is constituted by Service Area Code (SAC) together with the PLMN-Id and the LAC (Location Area Code):</w:t>
      </w:r>
    </w:p>
    <w:p>
      <w:pPr>
        <w:pStyle w:val="60"/>
        <w:spacing w:after="0"/>
        <w:ind w:left="0" w:firstLine="0"/>
        <w:jc w:val="center"/>
        <w:rPr>
          <w:rFonts w:hint="default" w:eastAsia="宋体"/>
          <w:lang w:val="en-US" w:eastAsia="zh-CN"/>
        </w:rPr>
      </w:pPr>
      <w:r>
        <w:rPr>
          <w:rFonts w:hint="default" w:eastAsia="宋体"/>
          <w:lang w:val="en-US" w:eastAsia="zh-CN"/>
        </w:rPr>
        <w:t>-</w:t>
      </w:r>
      <w:r>
        <w:rPr>
          <w:rFonts w:hint="default" w:eastAsia="宋体"/>
          <w:lang w:val="en-US" w:eastAsia="zh-CN"/>
        </w:rPr>
        <w:tab/>
      </w:r>
      <w:r>
        <w:rPr>
          <w:rFonts w:hint="default" w:eastAsia="宋体"/>
          <w:lang w:val="en-US" w:eastAsia="zh-CN"/>
        </w:rPr>
        <w:t>SAI = PLMN-Id || LAC || SAC</w:t>
      </w:r>
      <w:r>
        <w:rPr>
          <w:rFonts w:hint="eastAsia" w:eastAsia="宋体"/>
          <w:lang w:val="en-US" w:eastAsia="zh-CN"/>
        </w:rPr>
        <w:t xml:space="preserve"> [4]</w:t>
      </w:r>
    </w:p>
    <w:p>
      <w:pPr>
        <w:pStyle w:val="60"/>
        <w:spacing w:after="0"/>
        <w:ind w:left="0" w:firstLine="0"/>
        <w:rPr>
          <w:rFonts w:hint="eastAsia" w:eastAsiaTheme="minorEastAsia"/>
          <w:b/>
          <w:bCs w:val="0"/>
          <w:lang w:val="en-US" w:eastAsia="zh-CN"/>
        </w:rPr>
      </w:pPr>
      <w:r>
        <w:rPr>
          <w:rFonts w:hint="eastAsia" w:eastAsia="宋体"/>
          <w:iCs/>
          <w:lang w:val="en-US" w:eastAsia="zh-CN"/>
        </w:rPr>
        <w:t>Based on above, current TMGI and SAI have already contained MCC or PLMN ID respectively, it may be enough to represent different country and no further enhancements is needed.</w:t>
      </w:r>
    </w:p>
    <w:p>
      <w:pPr>
        <w:pStyle w:val="60"/>
        <w:spacing w:after="0"/>
        <w:ind w:left="0" w:leftChars="0" w:firstLine="0" w:firstLineChars="0"/>
        <w:rPr>
          <w:rFonts w:hint="default" w:eastAsiaTheme="minorEastAsia"/>
          <w:b/>
          <w:bCs/>
          <w:lang w:val="en-US" w:eastAsia="zh-CN"/>
        </w:rPr>
      </w:pPr>
      <w:r>
        <w:rPr>
          <w:rFonts w:hint="eastAsia" w:eastAsiaTheme="minorEastAsia"/>
          <w:b/>
          <w:bCs w:val="0"/>
          <w:lang w:val="en-US" w:eastAsia="zh-CN"/>
        </w:rPr>
        <w:t>Proposal 7: Current TMGI and SAI have already contained MCC or PLMN ID respectively, it may be enough to cover different country information.</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MBS broadcast</w:t>
      </w:r>
      <w:r>
        <w:rPr>
          <w:rFonts w:hint="eastAsia" w:eastAsiaTheme="minorEastAsia"/>
          <w:sz w:val="20"/>
          <w:szCs w:val="20"/>
          <w:lang w:eastAsia="zh-CN"/>
        </w:rPr>
        <w:t xml:space="preserve"> enhancements for </w:t>
      </w:r>
      <w:r>
        <w:rPr>
          <w:rFonts w:hint="eastAsia" w:eastAsiaTheme="minorEastAsia"/>
          <w:sz w:val="20"/>
          <w:szCs w:val="20"/>
          <w:lang w:val="en-US" w:eastAsia="zh-CN"/>
        </w:rPr>
        <w: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w:t>
      </w:r>
      <w:r>
        <w:rPr>
          <w:rFonts w:eastAsia="宋体" w:cs="Arial"/>
          <w:sz w:val="20"/>
          <w:szCs w:val="20"/>
        </w:rPr>
        <w:t>proposals:</w:t>
      </w:r>
    </w:p>
    <w:p>
      <w:pPr>
        <w:pStyle w:val="60"/>
        <w:numPr>
          <w:ilvl w:val="0"/>
          <w:numId w:val="0"/>
        </w:numPr>
        <w:spacing w:after="0"/>
        <w:rPr>
          <w:rFonts w:hint="eastAsia" w:eastAsia="宋体"/>
          <w:b/>
          <w:bCs/>
          <w:i/>
          <w:iCs w:val="0"/>
          <w:lang w:val="en-US" w:eastAsia="zh-CN"/>
        </w:rPr>
      </w:pPr>
      <w:r>
        <w:rPr>
          <w:rFonts w:hint="eastAsia" w:eastAsia="宋体"/>
          <w:b/>
          <w:bCs/>
          <w:iCs/>
          <w:lang w:val="en-US" w:eastAsia="zh-CN"/>
        </w:rPr>
        <w:t xml:space="preserve">Proposal 1: It is proposed to include service area information in </w:t>
      </w:r>
      <w:r>
        <w:rPr>
          <w:rFonts w:hint="eastAsia" w:eastAsia="宋体"/>
          <w:b/>
          <w:bCs/>
          <w:i/>
          <w:iCs w:val="0"/>
          <w:lang w:val="en-US" w:eastAsia="zh-CN"/>
        </w:rPr>
        <w:t>MBSBroadcastConfiguration</w:t>
      </w:r>
    </w:p>
    <w:p>
      <w:pPr>
        <w:pStyle w:val="60"/>
        <w:numPr>
          <w:ilvl w:val="0"/>
          <w:numId w:val="0"/>
        </w:numPr>
        <w:spacing w:after="0"/>
        <w:rPr>
          <w:rFonts w:hint="eastAsia" w:eastAsia="宋体"/>
          <w:b/>
          <w:bCs/>
          <w:iCs/>
          <w:lang w:val="en-US" w:eastAsia="zh-CN"/>
        </w:rPr>
      </w:pPr>
      <w:r>
        <w:rPr>
          <w:rFonts w:hint="eastAsia" w:eastAsia="宋体"/>
          <w:b/>
          <w:bCs/>
          <w:iCs/>
          <w:lang w:val="en-US" w:eastAsia="zh-CN"/>
        </w:rPr>
        <w:t>Proposal 2: Introduce intended service area ID and provide association (e.g. one to one, one to multiple, multiple to one) between intended service area ID and MBS session ID.</w:t>
      </w:r>
    </w:p>
    <w:p>
      <w:pPr>
        <w:pStyle w:val="60"/>
        <w:numPr>
          <w:ilvl w:val="0"/>
          <w:numId w:val="0"/>
        </w:numPr>
        <w:spacing w:after="0"/>
        <w:rPr>
          <w:rFonts w:hint="eastAsia" w:eastAsia="宋体"/>
          <w:b/>
          <w:bCs/>
          <w:iCs/>
          <w:lang w:val="en-US" w:eastAsia="zh-CN"/>
        </w:rPr>
      </w:pPr>
      <w:r>
        <w:rPr>
          <w:rFonts w:hint="eastAsia" w:eastAsia="宋体"/>
          <w:b/>
          <w:bCs/>
          <w:iCs/>
          <w:lang w:val="en-US" w:eastAsia="zh-CN"/>
        </w:rPr>
        <w:t>Proposal 3: For MCCH update due to service area information changing, legacy mechanism could be the baseline.</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4: Wait the feedback from SA1 for provision service area information for ETWS.</w:t>
      </w:r>
    </w:p>
    <w:p>
      <w:pPr>
        <w:pStyle w:val="60"/>
        <w:spacing w:after="0"/>
        <w:ind w:left="0" w:firstLine="0"/>
        <w:rPr>
          <w:rFonts w:hint="eastAsia" w:eastAsia="宋体"/>
          <w:iCs/>
          <w:lang w:val="en-US" w:eastAsia="zh-CN"/>
        </w:rPr>
      </w:pPr>
      <w:r>
        <w:rPr>
          <w:rFonts w:hint="eastAsia" w:eastAsiaTheme="minorEastAsia"/>
          <w:b/>
          <w:bCs w:val="0"/>
          <w:lang w:val="en-US" w:eastAsia="zh-CN"/>
        </w:rPr>
        <w:t>Proposal 5: For the referenceLocation + radius solution, the following new IE format could be discussed: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hint="default" w:eastAsiaTheme="minorEastAsia"/>
          <w:b/>
          <w:bCs w:val="0"/>
          <w:lang w:val="en-US" w:eastAsia="zh-CN"/>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spacing w:after="0"/>
        <w:ind w:left="0" w:firstLine="0"/>
        <w:rPr>
          <w:rFonts w:hint="default" w:ascii="Arial" w:hAnsi="Arial" w:eastAsia="宋体" w:cs="Arial"/>
          <w:b/>
          <w:bCs/>
          <w:iCs/>
          <w:lang w:val="en-US" w:eastAsia="zh-CN"/>
        </w:rPr>
      </w:pPr>
      <w:r>
        <w:rPr>
          <w:rFonts w:hint="default" w:ascii="Arial" w:hAnsi="Arial" w:cs="Arial" w:eastAsiaTheme="minorEastAsia"/>
          <w:b/>
          <w:bCs w:val="0"/>
          <w:lang w:val="en-US" w:eastAsia="zh-CN"/>
        </w:rPr>
        <w:t>Proposal 6: It is proposed to use “CHOICE” signaling structure to support both the service area format solutions.</w:t>
      </w:r>
    </w:p>
    <w:p>
      <w:pPr>
        <w:pStyle w:val="60"/>
        <w:spacing w:after="0"/>
        <w:ind w:left="0" w:leftChars="0" w:firstLine="0" w:firstLineChars="0"/>
        <w:rPr>
          <w:rFonts w:hint="default" w:eastAsiaTheme="minorEastAsia"/>
          <w:b/>
          <w:bCs/>
          <w:lang w:val="en-US" w:eastAsia="zh-CN"/>
        </w:rPr>
      </w:pPr>
      <w:r>
        <w:rPr>
          <w:rFonts w:hint="eastAsia" w:eastAsiaTheme="minorEastAsia"/>
          <w:b/>
          <w:bCs w:val="0"/>
          <w:lang w:val="en-US" w:eastAsia="zh-CN"/>
        </w:rPr>
        <w:t>Proposal 7: Current TMGI and SAI have alread</w:t>
      </w:r>
      <w:bookmarkStart w:id="8" w:name="_GoBack"/>
      <w:bookmarkEnd w:id="8"/>
      <w:r>
        <w:rPr>
          <w:rFonts w:hint="eastAsia" w:eastAsiaTheme="minorEastAsia"/>
          <w:b/>
          <w:bCs w:val="0"/>
          <w:lang w:val="en-US" w:eastAsia="zh-CN"/>
        </w:rPr>
        <w:t>y contained MCC or PLMN ID respectively, it may be enough to cover different country information.</w:t>
      </w:r>
    </w:p>
    <w:p>
      <w:pPr>
        <w:pStyle w:val="2"/>
        <w:rPr>
          <w:rFonts w:cs="Arial"/>
          <w:sz w:val="32"/>
          <w:szCs w:val="32"/>
        </w:rPr>
      </w:pPr>
      <w:r>
        <w:rPr>
          <w:rFonts w:cs="Arial"/>
          <w:sz w:val="32"/>
          <w:szCs w:val="32"/>
        </w:rPr>
        <w:t>Reference</w:t>
      </w:r>
    </w:p>
    <w:p>
      <w:pPr>
        <w:pStyle w:val="27"/>
        <w:numPr>
          <w:ilvl w:val="0"/>
          <w:numId w:val="11"/>
        </w:numPr>
        <w:overflowPunct/>
        <w:autoSpaceDE/>
        <w:autoSpaceDN/>
        <w:adjustRightInd/>
        <w:spacing w:beforeLines="50" w:after="0"/>
        <w:jc w:val="left"/>
        <w:textAlignment w:val="auto"/>
        <w:rPr>
          <w:rFonts w:hint="eastAsia"/>
          <w:sz w:val="20"/>
          <w:szCs w:val="20"/>
        </w:rPr>
      </w:pPr>
      <w:bookmarkStart w:id="7" w:name="_In-sequence_SDU_delivery"/>
      <w:bookmarkEnd w:id="7"/>
      <w:r>
        <w:rPr>
          <w:rFonts w:hint="eastAsia"/>
          <w:sz w:val="20"/>
          <w:szCs w:val="20"/>
        </w:rPr>
        <w:t>R2-127 NR-NTN-IoT-NTN (Sergio)_ EOM</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R2-2407619_Summary of [AT127][307][R19 NR NTN] (Apple)</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R2-2407823</w:t>
      </w:r>
      <w:r>
        <w:rPr>
          <w:rFonts w:hint="eastAsia"/>
          <w:sz w:val="20"/>
          <w:szCs w:val="20"/>
        </w:rPr>
        <w:tab/>
      </w:r>
      <w:r>
        <w:rPr>
          <w:rFonts w:hint="eastAsia"/>
          <w:sz w:val="20"/>
          <w:szCs w:val="20"/>
        </w:rPr>
        <w:t>LS on requirements for ETWS primary notification</w:t>
      </w:r>
      <w:r>
        <w:rPr>
          <w:rFonts w:hint="eastAsia"/>
          <w:sz w:val="20"/>
          <w:szCs w:val="20"/>
        </w:rPr>
        <w:tab/>
      </w:r>
      <w:r>
        <w:rPr>
          <w:rFonts w:hint="eastAsia"/>
          <w:sz w:val="20"/>
          <w:szCs w:val="20"/>
        </w:rPr>
        <w:t>Ericsson</w:t>
      </w:r>
      <w:r>
        <w:rPr>
          <w:rFonts w:hint="eastAsia"/>
          <w:sz w:val="20"/>
          <w:szCs w:val="20"/>
        </w:rPr>
        <w:tab/>
      </w:r>
      <w:r>
        <w:rPr>
          <w:rFonts w:hint="eastAsia"/>
          <w:sz w:val="20"/>
          <w:szCs w:val="20"/>
        </w:rPr>
        <w:t xml:space="preserve">LS </w:t>
      </w:r>
      <w:r>
        <w:rPr>
          <w:rFonts w:hint="eastAsia"/>
          <w:sz w:val="20"/>
          <w:szCs w:val="20"/>
        </w:rPr>
        <w:tab/>
      </w:r>
      <w:r>
        <w:rPr>
          <w:rFonts w:hint="eastAsia"/>
          <w:sz w:val="20"/>
          <w:szCs w:val="20"/>
        </w:rPr>
        <w:t>Rel-19</w:t>
      </w:r>
      <w:r>
        <w:rPr>
          <w:rFonts w:hint="eastAsia"/>
          <w:sz w:val="20"/>
          <w:szCs w:val="20"/>
        </w:rPr>
        <w:tab/>
      </w:r>
      <w:r>
        <w:rPr>
          <w:rFonts w:hint="eastAsia"/>
          <w:sz w:val="20"/>
          <w:szCs w:val="20"/>
        </w:rPr>
        <w:t>NR_NTN_Ph3-Core</w:t>
      </w:r>
      <w:r>
        <w:rPr>
          <w:rFonts w:hint="eastAsia"/>
          <w:sz w:val="20"/>
          <w:szCs w:val="20"/>
        </w:rPr>
        <w:tab/>
      </w:r>
      <w:r>
        <w:rPr>
          <w:rFonts w:hint="eastAsia"/>
          <w:sz w:val="20"/>
          <w:szCs w:val="20"/>
        </w:rPr>
        <w:t>To:SA1</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3GPP TS 23.003 V18.4.0</w:t>
      </w:r>
      <w:r>
        <w:rPr>
          <w:rFonts w:hint="eastAsia" w:eastAsia="宋体"/>
          <w:sz w:val="20"/>
          <w:szCs w:val="20"/>
          <w:lang w:val="en-US" w:eastAsia="zh-CN"/>
        </w:rPr>
        <w:t xml:space="preserve"> Numbering, addressing and identification;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27213"/>
    <w:multiLevelType w:val="singleLevel"/>
    <w:tmpl w:val="BF027213"/>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47CAD"/>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04112E"/>
    <w:rsid w:val="022F4B03"/>
    <w:rsid w:val="025F0B06"/>
    <w:rsid w:val="02744528"/>
    <w:rsid w:val="02807EB9"/>
    <w:rsid w:val="02CC0A1F"/>
    <w:rsid w:val="031C15A9"/>
    <w:rsid w:val="038E11A6"/>
    <w:rsid w:val="03A11802"/>
    <w:rsid w:val="03C0670A"/>
    <w:rsid w:val="03F47F88"/>
    <w:rsid w:val="04623E3F"/>
    <w:rsid w:val="04634577"/>
    <w:rsid w:val="04830132"/>
    <w:rsid w:val="048A5003"/>
    <w:rsid w:val="049C7A2E"/>
    <w:rsid w:val="04B2680A"/>
    <w:rsid w:val="04B403C6"/>
    <w:rsid w:val="04B93893"/>
    <w:rsid w:val="04BC080F"/>
    <w:rsid w:val="04F50E2F"/>
    <w:rsid w:val="05606A49"/>
    <w:rsid w:val="05983EBC"/>
    <w:rsid w:val="059F14A4"/>
    <w:rsid w:val="05A81BA7"/>
    <w:rsid w:val="05C27FC5"/>
    <w:rsid w:val="05C4403D"/>
    <w:rsid w:val="06261BBF"/>
    <w:rsid w:val="063B1259"/>
    <w:rsid w:val="0654248D"/>
    <w:rsid w:val="06565EAE"/>
    <w:rsid w:val="072F3206"/>
    <w:rsid w:val="0750320D"/>
    <w:rsid w:val="078C1F33"/>
    <w:rsid w:val="07B959B1"/>
    <w:rsid w:val="07EF7893"/>
    <w:rsid w:val="080269D0"/>
    <w:rsid w:val="083F0917"/>
    <w:rsid w:val="0841118C"/>
    <w:rsid w:val="08AF444E"/>
    <w:rsid w:val="09133D3D"/>
    <w:rsid w:val="092D6023"/>
    <w:rsid w:val="09A7296E"/>
    <w:rsid w:val="0A1A51CE"/>
    <w:rsid w:val="0A91659F"/>
    <w:rsid w:val="0A9740DA"/>
    <w:rsid w:val="0ACC0F45"/>
    <w:rsid w:val="0AF97CC1"/>
    <w:rsid w:val="0B3D21CC"/>
    <w:rsid w:val="0B4A1814"/>
    <w:rsid w:val="0B510D2F"/>
    <w:rsid w:val="0B6D0ACF"/>
    <w:rsid w:val="0BA83816"/>
    <w:rsid w:val="0BD462A5"/>
    <w:rsid w:val="0BD60B5C"/>
    <w:rsid w:val="0BFA191C"/>
    <w:rsid w:val="0C103E4C"/>
    <w:rsid w:val="0CAE5B2E"/>
    <w:rsid w:val="0CC30264"/>
    <w:rsid w:val="0CE57668"/>
    <w:rsid w:val="0D141632"/>
    <w:rsid w:val="0D524167"/>
    <w:rsid w:val="0D681ED9"/>
    <w:rsid w:val="0D6C179F"/>
    <w:rsid w:val="0D7875CA"/>
    <w:rsid w:val="0DA36DFC"/>
    <w:rsid w:val="0DDB664A"/>
    <w:rsid w:val="0DFB1CA5"/>
    <w:rsid w:val="0E891356"/>
    <w:rsid w:val="0E997EF0"/>
    <w:rsid w:val="0EC440FF"/>
    <w:rsid w:val="0EEE0218"/>
    <w:rsid w:val="0EF139CD"/>
    <w:rsid w:val="0F703294"/>
    <w:rsid w:val="0F7D081D"/>
    <w:rsid w:val="0FA67ED2"/>
    <w:rsid w:val="0FA82C80"/>
    <w:rsid w:val="0FCC0A5A"/>
    <w:rsid w:val="0FE0018D"/>
    <w:rsid w:val="10221AC0"/>
    <w:rsid w:val="11043CD0"/>
    <w:rsid w:val="11060008"/>
    <w:rsid w:val="110F10D1"/>
    <w:rsid w:val="11B82D63"/>
    <w:rsid w:val="11C5063A"/>
    <w:rsid w:val="123F66DC"/>
    <w:rsid w:val="12B27083"/>
    <w:rsid w:val="12BA7EC6"/>
    <w:rsid w:val="13116F0E"/>
    <w:rsid w:val="13132FCE"/>
    <w:rsid w:val="132D7B2A"/>
    <w:rsid w:val="134A0035"/>
    <w:rsid w:val="135C7F4F"/>
    <w:rsid w:val="13AF3F95"/>
    <w:rsid w:val="13B17C5D"/>
    <w:rsid w:val="13E7351F"/>
    <w:rsid w:val="141B1C76"/>
    <w:rsid w:val="147E35AF"/>
    <w:rsid w:val="14863487"/>
    <w:rsid w:val="14A20FFB"/>
    <w:rsid w:val="14D97F69"/>
    <w:rsid w:val="151B0F84"/>
    <w:rsid w:val="153214F9"/>
    <w:rsid w:val="153372CB"/>
    <w:rsid w:val="154E3CB1"/>
    <w:rsid w:val="15C933D5"/>
    <w:rsid w:val="15D62C41"/>
    <w:rsid w:val="16550D59"/>
    <w:rsid w:val="16563130"/>
    <w:rsid w:val="169343E9"/>
    <w:rsid w:val="16AA08E2"/>
    <w:rsid w:val="16C46C3F"/>
    <w:rsid w:val="16F24CA6"/>
    <w:rsid w:val="17224A41"/>
    <w:rsid w:val="173C4096"/>
    <w:rsid w:val="177E36D0"/>
    <w:rsid w:val="17FE5D44"/>
    <w:rsid w:val="180E362D"/>
    <w:rsid w:val="181A3EFC"/>
    <w:rsid w:val="18787128"/>
    <w:rsid w:val="188344FD"/>
    <w:rsid w:val="18B9619D"/>
    <w:rsid w:val="19035303"/>
    <w:rsid w:val="190B5E06"/>
    <w:rsid w:val="191242AE"/>
    <w:rsid w:val="192F184A"/>
    <w:rsid w:val="19642202"/>
    <w:rsid w:val="19AC5C42"/>
    <w:rsid w:val="19BC1AC5"/>
    <w:rsid w:val="1A330485"/>
    <w:rsid w:val="1A495354"/>
    <w:rsid w:val="1AC35E60"/>
    <w:rsid w:val="1AEF5DBD"/>
    <w:rsid w:val="1B181180"/>
    <w:rsid w:val="1B363FB3"/>
    <w:rsid w:val="1B423649"/>
    <w:rsid w:val="1BA24967"/>
    <w:rsid w:val="1BAD2CF8"/>
    <w:rsid w:val="1BD95F94"/>
    <w:rsid w:val="1BDA5141"/>
    <w:rsid w:val="1C2D3246"/>
    <w:rsid w:val="1C3D1CD0"/>
    <w:rsid w:val="1C5E7298"/>
    <w:rsid w:val="1C851710"/>
    <w:rsid w:val="1CCE570D"/>
    <w:rsid w:val="1CED21E6"/>
    <w:rsid w:val="1D2F5A54"/>
    <w:rsid w:val="1D774AF0"/>
    <w:rsid w:val="1DA0306B"/>
    <w:rsid w:val="1DDD518B"/>
    <w:rsid w:val="1DEE0D18"/>
    <w:rsid w:val="1E3072B7"/>
    <w:rsid w:val="1E403C53"/>
    <w:rsid w:val="1E4A0692"/>
    <w:rsid w:val="1E4E2483"/>
    <w:rsid w:val="1EA20D4A"/>
    <w:rsid w:val="1EAA6DF5"/>
    <w:rsid w:val="1EB666E9"/>
    <w:rsid w:val="1EFF6958"/>
    <w:rsid w:val="1F0A1209"/>
    <w:rsid w:val="1F66136E"/>
    <w:rsid w:val="1F734328"/>
    <w:rsid w:val="1FA0723F"/>
    <w:rsid w:val="1FA11974"/>
    <w:rsid w:val="1FAC7B28"/>
    <w:rsid w:val="20203DE8"/>
    <w:rsid w:val="2031215C"/>
    <w:rsid w:val="20955704"/>
    <w:rsid w:val="209A3575"/>
    <w:rsid w:val="20A34269"/>
    <w:rsid w:val="20DB7C51"/>
    <w:rsid w:val="20E9518E"/>
    <w:rsid w:val="211313D4"/>
    <w:rsid w:val="21533CE4"/>
    <w:rsid w:val="21A07FD7"/>
    <w:rsid w:val="21F86645"/>
    <w:rsid w:val="22721758"/>
    <w:rsid w:val="22890610"/>
    <w:rsid w:val="22CC7A7A"/>
    <w:rsid w:val="22DE0319"/>
    <w:rsid w:val="234E7F45"/>
    <w:rsid w:val="236420CF"/>
    <w:rsid w:val="236E7D5F"/>
    <w:rsid w:val="23987155"/>
    <w:rsid w:val="239E787E"/>
    <w:rsid w:val="23D77568"/>
    <w:rsid w:val="23FC31DD"/>
    <w:rsid w:val="241418CB"/>
    <w:rsid w:val="243463DC"/>
    <w:rsid w:val="245B6D34"/>
    <w:rsid w:val="249A587D"/>
    <w:rsid w:val="24A5731F"/>
    <w:rsid w:val="24B5447A"/>
    <w:rsid w:val="24B82068"/>
    <w:rsid w:val="24E10292"/>
    <w:rsid w:val="24F55D6D"/>
    <w:rsid w:val="25043CC9"/>
    <w:rsid w:val="2513137F"/>
    <w:rsid w:val="25145D5F"/>
    <w:rsid w:val="25281B00"/>
    <w:rsid w:val="2596743F"/>
    <w:rsid w:val="25B04847"/>
    <w:rsid w:val="263D31A3"/>
    <w:rsid w:val="265756B5"/>
    <w:rsid w:val="27306E68"/>
    <w:rsid w:val="275E7C63"/>
    <w:rsid w:val="27606908"/>
    <w:rsid w:val="277E77C1"/>
    <w:rsid w:val="278A496D"/>
    <w:rsid w:val="27AB2710"/>
    <w:rsid w:val="27D72CC4"/>
    <w:rsid w:val="27D7484C"/>
    <w:rsid w:val="27E26E59"/>
    <w:rsid w:val="2809471B"/>
    <w:rsid w:val="28255BB3"/>
    <w:rsid w:val="285478B9"/>
    <w:rsid w:val="287D5E75"/>
    <w:rsid w:val="289579C1"/>
    <w:rsid w:val="289C45C3"/>
    <w:rsid w:val="28AD0B61"/>
    <w:rsid w:val="28ED12AF"/>
    <w:rsid w:val="291D6E54"/>
    <w:rsid w:val="291F7D02"/>
    <w:rsid w:val="292348C0"/>
    <w:rsid w:val="29423CBE"/>
    <w:rsid w:val="29462B04"/>
    <w:rsid w:val="2961737A"/>
    <w:rsid w:val="29991D1E"/>
    <w:rsid w:val="29C43864"/>
    <w:rsid w:val="29CD3FA9"/>
    <w:rsid w:val="2A46578A"/>
    <w:rsid w:val="2A4B23FB"/>
    <w:rsid w:val="2AC82235"/>
    <w:rsid w:val="2AF0613E"/>
    <w:rsid w:val="2B083F92"/>
    <w:rsid w:val="2B542A45"/>
    <w:rsid w:val="2B697187"/>
    <w:rsid w:val="2B8C2CC8"/>
    <w:rsid w:val="2BB75019"/>
    <w:rsid w:val="2BD870AF"/>
    <w:rsid w:val="2BE54292"/>
    <w:rsid w:val="2C13051C"/>
    <w:rsid w:val="2CF34F2F"/>
    <w:rsid w:val="2CF51ED1"/>
    <w:rsid w:val="2CFA23BD"/>
    <w:rsid w:val="2D3B228A"/>
    <w:rsid w:val="2D5923F4"/>
    <w:rsid w:val="2D613D2F"/>
    <w:rsid w:val="2DB6192E"/>
    <w:rsid w:val="2DBD7048"/>
    <w:rsid w:val="2DF36570"/>
    <w:rsid w:val="2E1A4203"/>
    <w:rsid w:val="2E2831C7"/>
    <w:rsid w:val="2EB775B3"/>
    <w:rsid w:val="2EE85B84"/>
    <w:rsid w:val="2EF94A67"/>
    <w:rsid w:val="2F775104"/>
    <w:rsid w:val="2F931D55"/>
    <w:rsid w:val="302454E4"/>
    <w:rsid w:val="302E07AF"/>
    <w:rsid w:val="303939AD"/>
    <w:rsid w:val="30946552"/>
    <w:rsid w:val="30AF76EE"/>
    <w:rsid w:val="30CB47BF"/>
    <w:rsid w:val="310423D7"/>
    <w:rsid w:val="311B0263"/>
    <w:rsid w:val="319D3380"/>
    <w:rsid w:val="31AE180F"/>
    <w:rsid w:val="31B46F9B"/>
    <w:rsid w:val="31C658F3"/>
    <w:rsid w:val="3255145A"/>
    <w:rsid w:val="327824D0"/>
    <w:rsid w:val="32903B78"/>
    <w:rsid w:val="32A942B0"/>
    <w:rsid w:val="32F13120"/>
    <w:rsid w:val="3319216C"/>
    <w:rsid w:val="333663A2"/>
    <w:rsid w:val="33D57B46"/>
    <w:rsid w:val="33E26367"/>
    <w:rsid w:val="33F614DE"/>
    <w:rsid w:val="3438527B"/>
    <w:rsid w:val="345C09B1"/>
    <w:rsid w:val="34914DCA"/>
    <w:rsid w:val="34C6331F"/>
    <w:rsid w:val="34D95BB9"/>
    <w:rsid w:val="3507028C"/>
    <w:rsid w:val="350A225C"/>
    <w:rsid w:val="351A4329"/>
    <w:rsid w:val="35237C4E"/>
    <w:rsid w:val="353B26A5"/>
    <w:rsid w:val="355965DA"/>
    <w:rsid w:val="361C2353"/>
    <w:rsid w:val="3635547B"/>
    <w:rsid w:val="36746B61"/>
    <w:rsid w:val="36A9407C"/>
    <w:rsid w:val="36CA291A"/>
    <w:rsid w:val="36DE72D5"/>
    <w:rsid w:val="36FA1D41"/>
    <w:rsid w:val="372D051E"/>
    <w:rsid w:val="37875B1D"/>
    <w:rsid w:val="3799690B"/>
    <w:rsid w:val="37C2178A"/>
    <w:rsid w:val="37CD35DE"/>
    <w:rsid w:val="37F50C06"/>
    <w:rsid w:val="380411EC"/>
    <w:rsid w:val="38084F02"/>
    <w:rsid w:val="3829480D"/>
    <w:rsid w:val="383529C2"/>
    <w:rsid w:val="383C5BD0"/>
    <w:rsid w:val="38536D3F"/>
    <w:rsid w:val="38651BE9"/>
    <w:rsid w:val="38677D19"/>
    <w:rsid w:val="388008B3"/>
    <w:rsid w:val="388727CC"/>
    <w:rsid w:val="389727CC"/>
    <w:rsid w:val="38A0684E"/>
    <w:rsid w:val="38E06D41"/>
    <w:rsid w:val="38E63823"/>
    <w:rsid w:val="38E72762"/>
    <w:rsid w:val="39024B57"/>
    <w:rsid w:val="391E61C3"/>
    <w:rsid w:val="392853F4"/>
    <w:rsid w:val="3955089B"/>
    <w:rsid w:val="395F7742"/>
    <w:rsid w:val="39E7178F"/>
    <w:rsid w:val="3A06167E"/>
    <w:rsid w:val="3A6F42D5"/>
    <w:rsid w:val="3A82293D"/>
    <w:rsid w:val="3A9E2AD9"/>
    <w:rsid w:val="3B5B04B2"/>
    <w:rsid w:val="3B9A5007"/>
    <w:rsid w:val="3BC23F1A"/>
    <w:rsid w:val="3C223052"/>
    <w:rsid w:val="3C5503C9"/>
    <w:rsid w:val="3CC50AEE"/>
    <w:rsid w:val="3CD8469E"/>
    <w:rsid w:val="3CF36A2A"/>
    <w:rsid w:val="3D2E7413"/>
    <w:rsid w:val="3D515C28"/>
    <w:rsid w:val="3D966C01"/>
    <w:rsid w:val="3DA51E2F"/>
    <w:rsid w:val="3DB43891"/>
    <w:rsid w:val="3DDE328E"/>
    <w:rsid w:val="3E4864CC"/>
    <w:rsid w:val="3EBD31E6"/>
    <w:rsid w:val="3ED15E5F"/>
    <w:rsid w:val="3EE00B8B"/>
    <w:rsid w:val="3F56446E"/>
    <w:rsid w:val="3F961152"/>
    <w:rsid w:val="3FAC0319"/>
    <w:rsid w:val="3FBC4178"/>
    <w:rsid w:val="401A56F9"/>
    <w:rsid w:val="40325295"/>
    <w:rsid w:val="408C6E25"/>
    <w:rsid w:val="40A97F0E"/>
    <w:rsid w:val="40CA29DC"/>
    <w:rsid w:val="40D86268"/>
    <w:rsid w:val="40F82E28"/>
    <w:rsid w:val="40FB12FD"/>
    <w:rsid w:val="41471FA6"/>
    <w:rsid w:val="41585AC3"/>
    <w:rsid w:val="415B4270"/>
    <w:rsid w:val="41B34CCB"/>
    <w:rsid w:val="41D00C05"/>
    <w:rsid w:val="41DB1250"/>
    <w:rsid w:val="420610DF"/>
    <w:rsid w:val="42470693"/>
    <w:rsid w:val="42784F38"/>
    <w:rsid w:val="429544E1"/>
    <w:rsid w:val="429A669A"/>
    <w:rsid w:val="42CE6929"/>
    <w:rsid w:val="42F71CEC"/>
    <w:rsid w:val="43E6767C"/>
    <w:rsid w:val="443B107F"/>
    <w:rsid w:val="44B14540"/>
    <w:rsid w:val="44BA7E1E"/>
    <w:rsid w:val="44BE79C3"/>
    <w:rsid w:val="453A44C6"/>
    <w:rsid w:val="45CA31DA"/>
    <w:rsid w:val="45EC6821"/>
    <w:rsid w:val="45F303D0"/>
    <w:rsid w:val="464004CF"/>
    <w:rsid w:val="46B51FCF"/>
    <w:rsid w:val="46BA0199"/>
    <w:rsid w:val="46D74DAF"/>
    <w:rsid w:val="47062A9A"/>
    <w:rsid w:val="47993F84"/>
    <w:rsid w:val="47B83FA1"/>
    <w:rsid w:val="47BD666C"/>
    <w:rsid w:val="480A17DC"/>
    <w:rsid w:val="481C5974"/>
    <w:rsid w:val="4846796F"/>
    <w:rsid w:val="487A095F"/>
    <w:rsid w:val="48B93CAD"/>
    <w:rsid w:val="49495158"/>
    <w:rsid w:val="49AA66DF"/>
    <w:rsid w:val="49EF1DDD"/>
    <w:rsid w:val="4A17114C"/>
    <w:rsid w:val="4A284A82"/>
    <w:rsid w:val="4A662E1D"/>
    <w:rsid w:val="4A7E32B4"/>
    <w:rsid w:val="4A99715A"/>
    <w:rsid w:val="4AC00034"/>
    <w:rsid w:val="4AE7217A"/>
    <w:rsid w:val="4AFC533A"/>
    <w:rsid w:val="4B1367B9"/>
    <w:rsid w:val="4B316DE7"/>
    <w:rsid w:val="4BA23F51"/>
    <w:rsid w:val="4C353BC7"/>
    <w:rsid w:val="4C36309A"/>
    <w:rsid w:val="4C5D54D6"/>
    <w:rsid w:val="4C7A41E4"/>
    <w:rsid w:val="4C814518"/>
    <w:rsid w:val="4C91315E"/>
    <w:rsid w:val="4CAD0872"/>
    <w:rsid w:val="4CC921E6"/>
    <w:rsid w:val="4CCE50CA"/>
    <w:rsid w:val="4CEB1651"/>
    <w:rsid w:val="4CF52497"/>
    <w:rsid w:val="4CFC5090"/>
    <w:rsid w:val="4D2B1DA7"/>
    <w:rsid w:val="4D3A24A4"/>
    <w:rsid w:val="4D594475"/>
    <w:rsid w:val="4DB06342"/>
    <w:rsid w:val="4DC729B3"/>
    <w:rsid w:val="4DE8181F"/>
    <w:rsid w:val="4DEC01C6"/>
    <w:rsid w:val="4DF158ED"/>
    <w:rsid w:val="4E147614"/>
    <w:rsid w:val="4E4D0205"/>
    <w:rsid w:val="4E873862"/>
    <w:rsid w:val="4EC83A06"/>
    <w:rsid w:val="4F2C3853"/>
    <w:rsid w:val="4F526750"/>
    <w:rsid w:val="4F6B3677"/>
    <w:rsid w:val="4F6F58E0"/>
    <w:rsid w:val="4F7F20AA"/>
    <w:rsid w:val="4F873909"/>
    <w:rsid w:val="4FF617D6"/>
    <w:rsid w:val="4FF649F9"/>
    <w:rsid w:val="506B2DFC"/>
    <w:rsid w:val="50E64646"/>
    <w:rsid w:val="511F1374"/>
    <w:rsid w:val="51545711"/>
    <w:rsid w:val="516A6684"/>
    <w:rsid w:val="518C6DB2"/>
    <w:rsid w:val="51E04809"/>
    <w:rsid w:val="51E261D3"/>
    <w:rsid w:val="5216635A"/>
    <w:rsid w:val="525B1064"/>
    <w:rsid w:val="52BB0D49"/>
    <w:rsid w:val="531C2067"/>
    <w:rsid w:val="532C26FC"/>
    <w:rsid w:val="53322A76"/>
    <w:rsid w:val="539B3C5F"/>
    <w:rsid w:val="53C27D6A"/>
    <w:rsid w:val="53C54AA3"/>
    <w:rsid w:val="54324E5A"/>
    <w:rsid w:val="54A648D1"/>
    <w:rsid w:val="54E44ED6"/>
    <w:rsid w:val="55571991"/>
    <w:rsid w:val="56132360"/>
    <w:rsid w:val="566931AC"/>
    <w:rsid w:val="567760E3"/>
    <w:rsid w:val="56B85F16"/>
    <w:rsid w:val="56BB4BB7"/>
    <w:rsid w:val="56F374FB"/>
    <w:rsid w:val="570E7622"/>
    <w:rsid w:val="57796E51"/>
    <w:rsid w:val="57E80074"/>
    <w:rsid w:val="584D19EF"/>
    <w:rsid w:val="588D3796"/>
    <w:rsid w:val="5936030B"/>
    <w:rsid w:val="59620232"/>
    <w:rsid w:val="597F641F"/>
    <w:rsid w:val="59A00F56"/>
    <w:rsid w:val="59B24039"/>
    <w:rsid w:val="5A0B02FC"/>
    <w:rsid w:val="5A31005C"/>
    <w:rsid w:val="5A32467E"/>
    <w:rsid w:val="5A3C4744"/>
    <w:rsid w:val="5AD27471"/>
    <w:rsid w:val="5B0E20D9"/>
    <w:rsid w:val="5B130E01"/>
    <w:rsid w:val="5B8D1AC1"/>
    <w:rsid w:val="5BA3592C"/>
    <w:rsid w:val="5C57280E"/>
    <w:rsid w:val="5C610721"/>
    <w:rsid w:val="5C617A21"/>
    <w:rsid w:val="5C8B6FF1"/>
    <w:rsid w:val="5C8C3D5F"/>
    <w:rsid w:val="5CFE4143"/>
    <w:rsid w:val="5D3B1572"/>
    <w:rsid w:val="5D99368A"/>
    <w:rsid w:val="5DD60701"/>
    <w:rsid w:val="5E204AD7"/>
    <w:rsid w:val="5E445CC2"/>
    <w:rsid w:val="5E4C6102"/>
    <w:rsid w:val="5E6D4BC0"/>
    <w:rsid w:val="5ED06481"/>
    <w:rsid w:val="5EEA5BA3"/>
    <w:rsid w:val="5F3E69CE"/>
    <w:rsid w:val="5F48763E"/>
    <w:rsid w:val="5FB93853"/>
    <w:rsid w:val="6009519E"/>
    <w:rsid w:val="600E1625"/>
    <w:rsid w:val="60581636"/>
    <w:rsid w:val="60AD4549"/>
    <w:rsid w:val="60AD5F5F"/>
    <w:rsid w:val="60E30438"/>
    <w:rsid w:val="60F9202B"/>
    <w:rsid w:val="612D3C7B"/>
    <w:rsid w:val="61826F89"/>
    <w:rsid w:val="61B51D80"/>
    <w:rsid w:val="623E2101"/>
    <w:rsid w:val="62947A1C"/>
    <w:rsid w:val="62CD6DE1"/>
    <w:rsid w:val="62D31602"/>
    <w:rsid w:val="62DB67DA"/>
    <w:rsid w:val="62E70A4E"/>
    <w:rsid w:val="62FD4A9D"/>
    <w:rsid w:val="632C6FC4"/>
    <w:rsid w:val="633D546F"/>
    <w:rsid w:val="634169FD"/>
    <w:rsid w:val="634B3FF6"/>
    <w:rsid w:val="637F2D00"/>
    <w:rsid w:val="63C723DB"/>
    <w:rsid w:val="63E523E7"/>
    <w:rsid w:val="6414316C"/>
    <w:rsid w:val="64460ECC"/>
    <w:rsid w:val="644F5E22"/>
    <w:rsid w:val="64681DB1"/>
    <w:rsid w:val="646F5052"/>
    <w:rsid w:val="64902A98"/>
    <w:rsid w:val="64B410B0"/>
    <w:rsid w:val="64D843A5"/>
    <w:rsid w:val="65115EE0"/>
    <w:rsid w:val="652B7ADD"/>
    <w:rsid w:val="663B46C9"/>
    <w:rsid w:val="663F30CF"/>
    <w:rsid w:val="66B1186C"/>
    <w:rsid w:val="66E640D9"/>
    <w:rsid w:val="673A01AF"/>
    <w:rsid w:val="67413BF6"/>
    <w:rsid w:val="674212A6"/>
    <w:rsid w:val="6755359A"/>
    <w:rsid w:val="675C2222"/>
    <w:rsid w:val="677A5055"/>
    <w:rsid w:val="67971B0A"/>
    <w:rsid w:val="67A7418D"/>
    <w:rsid w:val="67BF57A3"/>
    <w:rsid w:val="67D27C62"/>
    <w:rsid w:val="67DF6978"/>
    <w:rsid w:val="68412A6B"/>
    <w:rsid w:val="69193357"/>
    <w:rsid w:val="694E04D2"/>
    <w:rsid w:val="698044A5"/>
    <w:rsid w:val="6A114647"/>
    <w:rsid w:val="6A510F7A"/>
    <w:rsid w:val="6A6B1CE7"/>
    <w:rsid w:val="6A7E1356"/>
    <w:rsid w:val="6AA67E64"/>
    <w:rsid w:val="6B0D712F"/>
    <w:rsid w:val="6B28575B"/>
    <w:rsid w:val="6B3A23C3"/>
    <w:rsid w:val="6BA11D8E"/>
    <w:rsid w:val="6BE4485D"/>
    <w:rsid w:val="6BEE2278"/>
    <w:rsid w:val="6C3A3E01"/>
    <w:rsid w:val="6C3B431E"/>
    <w:rsid w:val="6C5F105B"/>
    <w:rsid w:val="6C857DA8"/>
    <w:rsid w:val="6CA548BC"/>
    <w:rsid w:val="6CC1587C"/>
    <w:rsid w:val="6CEF50C6"/>
    <w:rsid w:val="6D0646EB"/>
    <w:rsid w:val="6D2B74AA"/>
    <w:rsid w:val="6D697BC3"/>
    <w:rsid w:val="6D7111BC"/>
    <w:rsid w:val="6DCA5CB9"/>
    <w:rsid w:val="6DF93947"/>
    <w:rsid w:val="6E280F38"/>
    <w:rsid w:val="6E472A13"/>
    <w:rsid w:val="6E8A21F7"/>
    <w:rsid w:val="6EA410B2"/>
    <w:rsid w:val="6ED837EB"/>
    <w:rsid w:val="6EE576BA"/>
    <w:rsid w:val="6F01162E"/>
    <w:rsid w:val="6F2867BD"/>
    <w:rsid w:val="6F44559B"/>
    <w:rsid w:val="6F5E7C46"/>
    <w:rsid w:val="6FC43175"/>
    <w:rsid w:val="6FF731B6"/>
    <w:rsid w:val="703A2630"/>
    <w:rsid w:val="709C594C"/>
    <w:rsid w:val="70DE4029"/>
    <w:rsid w:val="718F1BBF"/>
    <w:rsid w:val="71D05F49"/>
    <w:rsid w:val="71ED7728"/>
    <w:rsid w:val="726760BC"/>
    <w:rsid w:val="72D65439"/>
    <w:rsid w:val="73090FE2"/>
    <w:rsid w:val="73265607"/>
    <w:rsid w:val="73A60CBE"/>
    <w:rsid w:val="73AA4E32"/>
    <w:rsid w:val="73E40269"/>
    <w:rsid w:val="73F82EA2"/>
    <w:rsid w:val="7435596C"/>
    <w:rsid w:val="745F4234"/>
    <w:rsid w:val="746C72EA"/>
    <w:rsid w:val="74722C9A"/>
    <w:rsid w:val="7475358D"/>
    <w:rsid w:val="747E452E"/>
    <w:rsid w:val="74FA5A4A"/>
    <w:rsid w:val="755F161D"/>
    <w:rsid w:val="758576AD"/>
    <w:rsid w:val="75884210"/>
    <w:rsid w:val="75BD4A84"/>
    <w:rsid w:val="75D454CE"/>
    <w:rsid w:val="75EA7003"/>
    <w:rsid w:val="760D56E2"/>
    <w:rsid w:val="76260D51"/>
    <w:rsid w:val="76EE218C"/>
    <w:rsid w:val="77250641"/>
    <w:rsid w:val="772E0B03"/>
    <w:rsid w:val="778A542A"/>
    <w:rsid w:val="77C177F8"/>
    <w:rsid w:val="77CF3E4F"/>
    <w:rsid w:val="77D309AE"/>
    <w:rsid w:val="77EF5E51"/>
    <w:rsid w:val="77F65DDE"/>
    <w:rsid w:val="78EF6DB3"/>
    <w:rsid w:val="79214247"/>
    <w:rsid w:val="792718FA"/>
    <w:rsid w:val="79332F0B"/>
    <w:rsid w:val="797F74A2"/>
    <w:rsid w:val="798E18C9"/>
    <w:rsid w:val="79A56E86"/>
    <w:rsid w:val="79C11BD2"/>
    <w:rsid w:val="79E8078D"/>
    <w:rsid w:val="7A3422EE"/>
    <w:rsid w:val="7A4774F3"/>
    <w:rsid w:val="7A556E34"/>
    <w:rsid w:val="7A634533"/>
    <w:rsid w:val="7AA678C6"/>
    <w:rsid w:val="7B113087"/>
    <w:rsid w:val="7B462CD2"/>
    <w:rsid w:val="7B5441DD"/>
    <w:rsid w:val="7B902188"/>
    <w:rsid w:val="7B9E2E7D"/>
    <w:rsid w:val="7BCD1523"/>
    <w:rsid w:val="7BEA35A6"/>
    <w:rsid w:val="7C050B07"/>
    <w:rsid w:val="7C9E7A01"/>
    <w:rsid w:val="7CB80A66"/>
    <w:rsid w:val="7CF92699"/>
    <w:rsid w:val="7D2E186E"/>
    <w:rsid w:val="7D3B525E"/>
    <w:rsid w:val="7D8F4D8B"/>
    <w:rsid w:val="7DBA4407"/>
    <w:rsid w:val="7DC4445F"/>
    <w:rsid w:val="7DD14D63"/>
    <w:rsid w:val="7E0773D0"/>
    <w:rsid w:val="7E431A61"/>
    <w:rsid w:val="7E5D66DD"/>
    <w:rsid w:val="7E734104"/>
    <w:rsid w:val="7E8C0561"/>
    <w:rsid w:val="7EAB2A75"/>
    <w:rsid w:val="7ED317FE"/>
    <w:rsid w:val="7EEE5FCC"/>
    <w:rsid w:val="7F0A41FB"/>
    <w:rsid w:val="7F180AE2"/>
    <w:rsid w:val="7F1B2068"/>
    <w:rsid w:val="7F2E279D"/>
    <w:rsid w:val="7F5130BD"/>
    <w:rsid w:val="7F60044C"/>
    <w:rsid w:val="7F7054DF"/>
    <w:rsid w:val="7F880165"/>
    <w:rsid w:val="7F965978"/>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3</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2024-09-30T06:11:49Z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529EC3D8D3EC4ABD883D5D001F66430B</vt:lpwstr>
  </property>
</Properties>
</file>